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Default="00FD41EA" w:rsidP="0035028E">
      <w:pPr>
        <w:jc w:val="center"/>
        <w:rPr>
          <w:b/>
          <w:sz w:val="28"/>
        </w:rPr>
      </w:pPr>
      <w:r>
        <w:rPr>
          <w:b/>
          <w:sz w:val="28"/>
        </w:rPr>
        <w:t xml:space="preserve">Appendix 2 - </w:t>
      </w:r>
      <w:r w:rsidR="0035028E" w:rsidRPr="00395D50">
        <w:rPr>
          <w:b/>
          <w:sz w:val="28"/>
        </w:rPr>
        <w:t>Scrutiny Recommendation Tracker 2014-15</w:t>
      </w:r>
      <w:r>
        <w:rPr>
          <w:b/>
          <w:sz w:val="28"/>
        </w:rPr>
        <w:t xml:space="preserve"> (exception report)</w:t>
      </w:r>
    </w:p>
    <w:p w:rsidR="00316382" w:rsidRDefault="00316382" w:rsidP="0035028E">
      <w:pPr>
        <w:jc w:val="center"/>
        <w:rPr>
          <w:b/>
          <w:sz w:val="28"/>
        </w:rPr>
      </w:pPr>
    </w:p>
    <w:p w:rsidR="00114FF4" w:rsidRPr="00C63D2C" w:rsidRDefault="00114FF4" w:rsidP="00114FF4">
      <w:r>
        <w:t xml:space="preserve">Listed below are recommendations made by the Scrutiny Committee to the City Executive Board between </w:t>
      </w:r>
      <w:r>
        <w:t>May</w:t>
      </w:r>
      <w:r>
        <w:t xml:space="preserve"> </w:t>
      </w:r>
      <w:r>
        <w:t xml:space="preserve">2014 </w:t>
      </w:r>
      <w:r>
        <w:t xml:space="preserve">and </w:t>
      </w:r>
      <w:r>
        <w:t>April</w:t>
      </w:r>
      <w:r>
        <w:t xml:space="preserve"> 2015 that have been agreed but not yet fully implemented:</w:t>
      </w:r>
    </w:p>
    <w:p w:rsidR="00114FF4" w:rsidRDefault="00114FF4" w:rsidP="0035028E">
      <w:pPr>
        <w:jc w:val="center"/>
        <w:rPr>
          <w:b/>
          <w:sz w:val="28"/>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992"/>
        <w:gridCol w:w="4820"/>
        <w:gridCol w:w="1701"/>
        <w:gridCol w:w="1275"/>
      </w:tblGrid>
      <w:tr w:rsidR="002F3A2A" w:rsidRPr="00B44C14" w:rsidTr="002F3A2A">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F3A2A" w:rsidRPr="00B44C14" w:rsidRDefault="002F3A2A" w:rsidP="002F3A2A">
            <w:pPr>
              <w:rPr>
                <w:rFonts w:cs="Arial"/>
                <w:b/>
                <w:bCs/>
                <w:sz w:val="22"/>
                <w:szCs w:val="22"/>
              </w:rPr>
            </w:pPr>
            <w:r w:rsidRPr="002F3A2A">
              <w:rPr>
                <w:rFonts w:cs="Arial"/>
                <w:b/>
                <w:bCs/>
                <w:sz w:val="22"/>
                <w:szCs w:val="22"/>
              </w:rPr>
              <w:t>Safeguarding Policy – Scrutiny Committee 27 April</w:t>
            </w:r>
          </w:p>
        </w:tc>
      </w:tr>
      <w:tr w:rsidR="002F3A2A" w:rsidRPr="00B44C14" w:rsidTr="00114FF4">
        <w:tc>
          <w:tcPr>
            <w:tcW w:w="5245"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Agreed Y/N</w:t>
            </w:r>
          </w:p>
        </w:tc>
        <w:tc>
          <w:tcPr>
            <w:tcW w:w="4820"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Executive response</w:t>
            </w:r>
          </w:p>
        </w:tc>
        <w:tc>
          <w:tcPr>
            <w:tcW w:w="1701" w:type="dxa"/>
            <w:vAlign w:val="center"/>
          </w:tcPr>
          <w:p w:rsidR="002F3A2A" w:rsidRPr="00B44C14" w:rsidRDefault="002F3A2A" w:rsidP="002F3A2A">
            <w:pPr>
              <w:rPr>
                <w:rFonts w:cs="Arial"/>
                <w:b/>
                <w:sz w:val="22"/>
                <w:szCs w:val="22"/>
              </w:rPr>
            </w:pPr>
            <w:r w:rsidRPr="00B44C14">
              <w:rPr>
                <w:rFonts w:cs="Arial"/>
                <w:b/>
                <w:sz w:val="22"/>
                <w:szCs w:val="22"/>
              </w:rPr>
              <w:t xml:space="preserve">Lead Member &amp; Officer </w:t>
            </w:r>
          </w:p>
        </w:tc>
        <w:tc>
          <w:tcPr>
            <w:tcW w:w="1275" w:type="dxa"/>
            <w:vAlign w:val="center"/>
          </w:tcPr>
          <w:p w:rsidR="002F3A2A" w:rsidRPr="00B44C14" w:rsidRDefault="00114FF4" w:rsidP="002F3A2A">
            <w:pPr>
              <w:rPr>
                <w:rFonts w:cs="Arial"/>
                <w:b/>
                <w:sz w:val="22"/>
                <w:szCs w:val="22"/>
              </w:rPr>
            </w:pPr>
            <w:r>
              <w:rPr>
                <w:rFonts w:cs="Arial"/>
                <w:b/>
                <w:sz w:val="22"/>
                <w:szCs w:val="22"/>
              </w:rPr>
              <w:t>D</w:t>
            </w:r>
            <w:r w:rsidR="002F3A2A" w:rsidRPr="00B44C14">
              <w:rPr>
                <w:rFonts w:cs="Arial"/>
                <w:b/>
                <w:sz w:val="22"/>
                <w:szCs w:val="22"/>
              </w:rPr>
              <w:t>ue date</w:t>
            </w:r>
          </w:p>
        </w:tc>
      </w:tr>
      <w:tr w:rsidR="00022316" w:rsidTr="00114FF4">
        <w:tc>
          <w:tcPr>
            <w:tcW w:w="5245" w:type="dxa"/>
            <w:shd w:val="clear" w:color="auto" w:fill="auto"/>
          </w:tcPr>
          <w:p w:rsidR="00022316" w:rsidRPr="00AA66C9" w:rsidRDefault="00022316" w:rsidP="00AA66C9">
            <w:pPr>
              <w:rPr>
                <w:rFonts w:cs="Arial"/>
                <w:sz w:val="22"/>
                <w:szCs w:val="22"/>
              </w:rPr>
            </w:pPr>
            <w:r w:rsidRPr="00AA66C9">
              <w:rPr>
                <w:rFonts w:cs="Arial"/>
                <w:sz w:val="22"/>
                <w:szCs w:val="22"/>
              </w:rPr>
              <w:t>Recommendation 2 – We recommend that the City Council prioritises the following in the next budget round:</w:t>
            </w:r>
          </w:p>
          <w:p w:rsidR="00022316" w:rsidRPr="00AA66C9" w:rsidRDefault="00022316" w:rsidP="00AA66C9">
            <w:pPr>
              <w:rPr>
                <w:rFonts w:cs="Arial"/>
                <w:sz w:val="22"/>
                <w:szCs w:val="22"/>
              </w:rPr>
            </w:pPr>
            <w:r w:rsidRPr="00AA66C9">
              <w:rPr>
                <w:rFonts w:cs="Arial"/>
                <w:sz w:val="22"/>
                <w:szCs w:val="22"/>
              </w:rPr>
              <w:t xml:space="preserve">a) Continuing to fund the Safeguarding Coordinator post, </w:t>
            </w:r>
          </w:p>
          <w:p w:rsidR="00022316" w:rsidRPr="00B44C14" w:rsidRDefault="00022316" w:rsidP="00AA66C9">
            <w:pPr>
              <w:rPr>
                <w:rFonts w:cs="Arial"/>
                <w:sz w:val="22"/>
                <w:szCs w:val="22"/>
              </w:rPr>
            </w:pPr>
            <w:r w:rsidRPr="00AA66C9">
              <w:rPr>
                <w:rFonts w:cs="Arial"/>
                <w:sz w:val="22"/>
                <w:szCs w:val="22"/>
              </w:rPr>
              <w:t>b) Supporting the Multi-Agency Safeguarding Hub.</w:t>
            </w:r>
          </w:p>
        </w:tc>
        <w:tc>
          <w:tcPr>
            <w:tcW w:w="992" w:type="dxa"/>
            <w:shd w:val="clear" w:color="auto" w:fill="auto"/>
          </w:tcPr>
          <w:p w:rsidR="00022316" w:rsidRPr="00AC577F" w:rsidRDefault="00022316" w:rsidP="008439EC">
            <w:pPr>
              <w:rPr>
                <w:rFonts w:cs="Arial"/>
              </w:rPr>
            </w:pPr>
            <w:r>
              <w:rPr>
                <w:rFonts w:cs="Arial"/>
              </w:rPr>
              <w:t>Y</w:t>
            </w:r>
          </w:p>
        </w:tc>
        <w:tc>
          <w:tcPr>
            <w:tcW w:w="4820" w:type="dxa"/>
            <w:shd w:val="clear" w:color="auto" w:fill="auto"/>
          </w:tcPr>
          <w:p w:rsidR="00022316" w:rsidRPr="00AC577F" w:rsidRDefault="00022316" w:rsidP="008439EC">
            <w:pPr>
              <w:rPr>
                <w:rFonts w:cs="Arial"/>
              </w:rPr>
            </w:pPr>
          </w:p>
        </w:tc>
        <w:tc>
          <w:tcPr>
            <w:tcW w:w="1701" w:type="dxa"/>
          </w:tcPr>
          <w:p w:rsidR="00022316" w:rsidRPr="00AC577F" w:rsidRDefault="00022316" w:rsidP="008439EC">
            <w:pPr>
              <w:rPr>
                <w:rFonts w:cs="Arial"/>
              </w:rPr>
            </w:pPr>
            <w:r w:rsidRPr="003C67E1">
              <w:rPr>
                <w:rFonts w:cs="Arial"/>
              </w:rPr>
              <w:t>Cllr Pat Kennedy / Val Johnson</w:t>
            </w:r>
          </w:p>
        </w:tc>
        <w:tc>
          <w:tcPr>
            <w:tcW w:w="1275" w:type="dxa"/>
          </w:tcPr>
          <w:p w:rsidR="00022316" w:rsidRDefault="008439EC" w:rsidP="002F3A2A">
            <w:r>
              <w:t xml:space="preserve">Dec </w:t>
            </w:r>
            <w:r w:rsidR="00114FF4">
              <w:t>20</w:t>
            </w:r>
            <w:r>
              <w:t>15</w:t>
            </w:r>
          </w:p>
        </w:tc>
      </w:tr>
      <w:tr w:rsidR="00C57971" w:rsidRPr="00B44C14" w:rsidTr="00C57971">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57971" w:rsidRPr="00B44C14" w:rsidRDefault="00C57971" w:rsidP="002F3A2A">
            <w:pPr>
              <w:rPr>
                <w:rFonts w:cs="Arial"/>
                <w:b/>
                <w:bCs/>
                <w:sz w:val="22"/>
                <w:szCs w:val="22"/>
              </w:rPr>
            </w:pPr>
            <w:r>
              <w:rPr>
                <w:rFonts w:cs="Arial"/>
                <w:b/>
                <w:bCs/>
                <w:sz w:val="22"/>
                <w:szCs w:val="22"/>
              </w:rPr>
              <w:t xml:space="preserve">Fusion Lifestyle Annual Service Plan 2015/16 – Scrutiny Committee 23 March </w:t>
            </w:r>
          </w:p>
        </w:tc>
      </w:tr>
      <w:tr w:rsidR="00C57971" w:rsidRPr="00B44C14" w:rsidTr="00EE650A">
        <w:tc>
          <w:tcPr>
            <w:tcW w:w="5245" w:type="dxa"/>
            <w:shd w:val="clear" w:color="auto" w:fill="auto"/>
            <w:vAlign w:val="center"/>
          </w:tcPr>
          <w:p w:rsidR="00C57971" w:rsidRPr="00B44C14" w:rsidRDefault="00C57971" w:rsidP="002F3A2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C57971" w:rsidRPr="00B44C14" w:rsidRDefault="00C57971" w:rsidP="002F3A2A">
            <w:pPr>
              <w:rPr>
                <w:rFonts w:cs="Arial"/>
                <w:b/>
                <w:sz w:val="22"/>
                <w:szCs w:val="22"/>
              </w:rPr>
            </w:pPr>
            <w:r w:rsidRPr="00B44C14">
              <w:rPr>
                <w:rFonts w:cs="Arial"/>
                <w:b/>
                <w:sz w:val="22"/>
                <w:szCs w:val="22"/>
              </w:rPr>
              <w:t>Agreed Y/N</w:t>
            </w:r>
          </w:p>
        </w:tc>
        <w:tc>
          <w:tcPr>
            <w:tcW w:w="4820" w:type="dxa"/>
            <w:shd w:val="clear" w:color="auto" w:fill="auto"/>
            <w:vAlign w:val="center"/>
          </w:tcPr>
          <w:p w:rsidR="00C57971" w:rsidRPr="00B44C14" w:rsidRDefault="00C57971" w:rsidP="002F3A2A">
            <w:pPr>
              <w:rPr>
                <w:rFonts w:cs="Arial"/>
                <w:b/>
                <w:sz w:val="22"/>
                <w:szCs w:val="22"/>
              </w:rPr>
            </w:pPr>
            <w:r w:rsidRPr="00B44C14">
              <w:rPr>
                <w:rFonts w:cs="Arial"/>
                <w:b/>
                <w:sz w:val="22"/>
                <w:szCs w:val="22"/>
              </w:rPr>
              <w:t>Executive response</w:t>
            </w:r>
          </w:p>
        </w:tc>
        <w:tc>
          <w:tcPr>
            <w:tcW w:w="1701" w:type="dxa"/>
            <w:vAlign w:val="center"/>
          </w:tcPr>
          <w:p w:rsidR="00C57971" w:rsidRPr="00B44C14" w:rsidRDefault="00C57971" w:rsidP="002F3A2A">
            <w:pPr>
              <w:rPr>
                <w:rFonts w:cs="Arial"/>
                <w:b/>
                <w:sz w:val="22"/>
                <w:szCs w:val="22"/>
              </w:rPr>
            </w:pPr>
            <w:r w:rsidRPr="00B44C14">
              <w:rPr>
                <w:rFonts w:cs="Arial"/>
                <w:b/>
                <w:sz w:val="22"/>
                <w:szCs w:val="22"/>
              </w:rPr>
              <w:t xml:space="preserve">Lead Member &amp; Officer </w:t>
            </w:r>
          </w:p>
        </w:tc>
        <w:tc>
          <w:tcPr>
            <w:tcW w:w="1275" w:type="dxa"/>
            <w:vAlign w:val="center"/>
          </w:tcPr>
          <w:p w:rsidR="00C57971" w:rsidRPr="00B44C14" w:rsidRDefault="00114FF4" w:rsidP="002F3A2A">
            <w:pPr>
              <w:rPr>
                <w:rFonts w:cs="Arial"/>
                <w:b/>
                <w:sz w:val="22"/>
                <w:szCs w:val="22"/>
              </w:rPr>
            </w:pPr>
            <w:r>
              <w:rPr>
                <w:rFonts w:cs="Arial"/>
                <w:b/>
                <w:sz w:val="22"/>
                <w:szCs w:val="22"/>
              </w:rPr>
              <w:t>D</w:t>
            </w:r>
            <w:r w:rsidR="00C57971" w:rsidRPr="00B44C14">
              <w:rPr>
                <w:rFonts w:cs="Arial"/>
                <w:b/>
                <w:sz w:val="22"/>
                <w:szCs w:val="22"/>
              </w:rPr>
              <w:t>ue date</w:t>
            </w:r>
          </w:p>
        </w:tc>
      </w:tr>
      <w:tr w:rsidR="00C57971" w:rsidTr="00EE650A">
        <w:tc>
          <w:tcPr>
            <w:tcW w:w="5245" w:type="dxa"/>
            <w:shd w:val="clear" w:color="auto" w:fill="auto"/>
          </w:tcPr>
          <w:p w:rsidR="00C57971" w:rsidRPr="00B44C14" w:rsidRDefault="00C57971" w:rsidP="002F3A2A">
            <w:pPr>
              <w:rPr>
                <w:rFonts w:cs="Arial"/>
                <w:sz w:val="22"/>
                <w:szCs w:val="22"/>
              </w:rPr>
            </w:pPr>
            <w:r w:rsidRPr="00C57971">
              <w:rPr>
                <w:rFonts w:cs="Arial"/>
                <w:sz w:val="22"/>
                <w:szCs w:val="22"/>
              </w:rPr>
              <w:t>3. We recommend that the City Council continues to work with Fusion Lifestyle to remove barriers to participation for our target groups, for example by seeking to extend crèche provision at Council leisure facilities.</w:t>
            </w:r>
          </w:p>
        </w:tc>
        <w:tc>
          <w:tcPr>
            <w:tcW w:w="992" w:type="dxa"/>
            <w:shd w:val="clear" w:color="auto" w:fill="auto"/>
          </w:tcPr>
          <w:p w:rsidR="00C57971" w:rsidRPr="002073B7" w:rsidRDefault="003A37E9" w:rsidP="002F3A2A">
            <w:pPr>
              <w:rPr>
                <w:rFonts w:cs="Arial"/>
              </w:rPr>
            </w:pPr>
            <w:r>
              <w:rPr>
                <w:rFonts w:cs="Arial"/>
              </w:rPr>
              <w:t>Y</w:t>
            </w:r>
          </w:p>
        </w:tc>
        <w:tc>
          <w:tcPr>
            <w:tcW w:w="4820" w:type="dxa"/>
            <w:shd w:val="clear" w:color="auto" w:fill="auto"/>
          </w:tcPr>
          <w:p w:rsidR="00C57971" w:rsidRPr="00A82BD6" w:rsidRDefault="003A37E9" w:rsidP="002F3A2A">
            <w:pPr>
              <w:rPr>
                <w:rFonts w:cs="Arial"/>
              </w:rPr>
            </w:pPr>
            <w:r w:rsidRPr="00A82BD6">
              <w:rPr>
                <w:rFonts w:cs="Arial"/>
              </w:rPr>
              <w:t xml:space="preserve">Agreed - it describes what we're doing and </w:t>
            </w:r>
            <w:proofErr w:type="gramStart"/>
            <w:r w:rsidRPr="00A82BD6">
              <w:rPr>
                <w:rFonts w:cs="Arial"/>
              </w:rPr>
              <w:t>intend</w:t>
            </w:r>
            <w:proofErr w:type="gramEnd"/>
            <w:r w:rsidRPr="00A82BD6">
              <w:rPr>
                <w:rFonts w:cs="Arial"/>
              </w:rPr>
              <w:t xml:space="preserve"> to keep doing.</w:t>
            </w:r>
          </w:p>
        </w:tc>
        <w:tc>
          <w:tcPr>
            <w:tcW w:w="1701" w:type="dxa"/>
          </w:tcPr>
          <w:p w:rsidR="00C57971" w:rsidRPr="00AC577F" w:rsidRDefault="00C57971" w:rsidP="002F3A2A">
            <w:pPr>
              <w:rPr>
                <w:rFonts w:cs="Arial"/>
              </w:rPr>
            </w:pPr>
            <w:r w:rsidRPr="001679DC">
              <w:rPr>
                <w:rFonts w:cs="Arial"/>
              </w:rPr>
              <w:t>Cllr Mike Rowley / Ian Brooke</w:t>
            </w:r>
          </w:p>
        </w:tc>
        <w:tc>
          <w:tcPr>
            <w:tcW w:w="1275" w:type="dxa"/>
          </w:tcPr>
          <w:p w:rsidR="00C57971" w:rsidRDefault="008439EC" w:rsidP="002F3A2A">
            <w:r>
              <w:t xml:space="preserve">March </w:t>
            </w:r>
            <w:r w:rsidR="00114FF4">
              <w:t>20</w:t>
            </w:r>
            <w:r>
              <w:t>16</w:t>
            </w:r>
          </w:p>
        </w:tc>
      </w:tr>
      <w:tr w:rsidR="00CF3D58" w:rsidRPr="00B44C14" w:rsidTr="00CF3D5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F3D58" w:rsidRPr="00B44C14" w:rsidRDefault="00CF3D58" w:rsidP="00CF3D58">
            <w:pPr>
              <w:rPr>
                <w:rFonts w:cs="Arial"/>
                <w:b/>
                <w:bCs/>
                <w:sz w:val="22"/>
                <w:szCs w:val="22"/>
              </w:rPr>
            </w:pPr>
            <w:r>
              <w:rPr>
                <w:rFonts w:cs="Arial"/>
                <w:b/>
                <w:bCs/>
                <w:sz w:val="22"/>
                <w:szCs w:val="22"/>
              </w:rPr>
              <w:t xml:space="preserve">Living Wage – Scrutiny Committee 2 March </w:t>
            </w:r>
          </w:p>
        </w:tc>
      </w:tr>
      <w:tr w:rsidR="00CF3D58" w:rsidRPr="00B44C14" w:rsidTr="00EE650A">
        <w:tc>
          <w:tcPr>
            <w:tcW w:w="5245"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Agreed Y/N</w:t>
            </w:r>
          </w:p>
        </w:tc>
        <w:tc>
          <w:tcPr>
            <w:tcW w:w="4820"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Executive response</w:t>
            </w:r>
          </w:p>
        </w:tc>
        <w:tc>
          <w:tcPr>
            <w:tcW w:w="1701" w:type="dxa"/>
            <w:vAlign w:val="center"/>
          </w:tcPr>
          <w:p w:rsidR="00CF3D58" w:rsidRPr="00B44C14" w:rsidRDefault="00CF3D58" w:rsidP="00CC680A">
            <w:pPr>
              <w:rPr>
                <w:rFonts w:cs="Arial"/>
                <w:b/>
                <w:sz w:val="22"/>
                <w:szCs w:val="22"/>
              </w:rPr>
            </w:pPr>
            <w:r w:rsidRPr="00B44C14">
              <w:rPr>
                <w:rFonts w:cs="Arial"/>
                <w:b/>
                <w:sz w:val="22"/>
                <w:szCs w:val="22"/>
              </w:rPr>
              <w:t xml:space="preserve">Lead Member &amp; Officer </w:t>
            </w:r>
          </w:p>
        </w:tc>
        <w:tc>
          <w:tcPr>
            <w:tcW w:w="1275" w:type="dxa"/>
            <w:vAlign w:val="center"/>
          </w:tcPr>
          <w:p w:rsidR="00CF3D58" w:rsidRPr="00B44C14" w:rsidRDefault="00114FF4" w:rsidP="00114FF4">
            <w:pPr>
              <w:rPr>
                <w:rFonts w:cs="Arial"/>
                <w:b/>
                <w:sz w:val="22"/>
                <w:szCs w:val="22"/>
              </w:rPr>
            </w:pPr>
            <w:r>
              <w:rPr>
                <w:rFonts w:cs="Arial"/>
                <w:b/>
                <w:sz w:val="22"/>
                <w:szCs w:val="22"/>
              </w:rPr>
              <w:t>D</w:t>
            </w:r>
            <w:r w:rsidR="00CF3D58" w:rsidRPr="00B44C14">
              <w:rPr>
                <w:rFonts w:cs="Arial"/>
                <w:b/>
                <w:sz w:val="22"/>
                <w:szCs w:val="22"/>
              </w:rPr>
              <w:t>ue date</w:t>
            </w:r>
          </w:p>
        </w:tc>
      </w:tr>
      <w:tr w:rsidR="00CF3D58" w:rsidTr="00EE65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t>1. We recommend that the City Council surveys all suppliers to measure compliance with paying the Oxford Living Wage.</w:t>
            </w:r>
          </w:p>
        </w:tc>
        <w:tc>
          <w:tcPr>
            <w:tcW w:w="992" w:type="dxa"/>
            <w:shd w:val="clear" w:color="auto" w:fill="auto"/>
          </w:tcPr>
          <w:p w:rsidR="00CF3D58" w:rsidRPr="002073B7" w:rsidRDefault="00CF3D58" w:rsidP="00CC680A">
            <w:pPr>
              <w:rPr>
                <w:rFonts w:cs="Arial"/>
              </w:rPr>
            </w:pPr>
            <w:r>
              <w:rPr>
                <w:rFonts w:cs="Arial"/>
              </w:rPr>
              <w:t>Y</w:t>
            </w:r>
          </w:p>
        </w:tc>
        <w:tc>
          <w:tcPr>
            <w:tcW w:w="4820" w:type="dxa"/>
            <w:shd w:val="clear" w:color="auto" w:fill="auto"/>
          </w:tcPr>
          <w:p w:rsidR="00CF3D58" w:rsidRPr="003C1987" w:rsidRDefault="00CF3D58" w:rsidP="00CC680A">
            <w:pPr>
              <w:rPr>
                <w:rFonts w:cs="Arial"/>
              </w:rPr>
            </w:pPr>
            <w:r w:rsidRPr="00CF3D58">
              <w:rPr>
                <w:rFonts w:cs="Arial"/>
              </w:rPr>
              <w:t>We should make every effort to ensure that our contractors are paying the Living Wage, but it may be difficult to achieve a full coverage of the very large number of suppliers, some of which provide very small volumes.</w:t>
            </w:r>
          </w:p>
        </w:tc>
        <w:tc>
          <w:tcPr>
            <w:tcW w:w="1701" w:type="dxa"/>
          </w:tcPr>
          <w:p w:rsidR="00CF3D58" w:rsidRPr="00B44C14" w:rsidRDefault="00CF3D58" w:rsidP="00CC680A">
            <w:pPr>
              <w:rPr>
                <w:rFonts w:cs="Arial"/>
                <w:sz w:val="22"/>
                <w:szCs w:val="22"/>
              </w:rPr>
            </w:pPr>
            <w:r w:rsidRPr="00CF3D58">
              <w:rPr>
                <w:rFonts w:cs="Arial"/>
                <w:sz w:val="22"/>
                <w:szCs w:val="22"/>
              </w:rPr>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275" w:type="dxa"/>
          </w:tcPr>
          <w:p w:rsidR="00CF3D58" w:rsidRDefault="00CF3D58" w:rsidP="00CC680A">
            <w:r>
              <w:t xml:space="preserve">Nov </w:t>
            </w:r>
            <w:r w:rsidR="000907A4">
              <w:t>20</w:t>
            </w:r>
            <w:r>
              <w:t>15</w:t>
            </w:r>
          </w:p>
        </w:tc>
      </w:tr>
      <w:tr w:rsidR="00CF3D58" w:rsidTr="00EE65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lastRenderedPageBreak/>
              <w:t>2. We recommend that the City Council reviews whether the Oxford Living Wage should continue to be set at 95% of the London Living Wage.</w:t>
            </w:r>
          </w:p>
        </w:tc>
        <w:tc>
          <w:tcPr>
            <w:tcW w:w="992" w:type="dxa"/>
            <w:shd w:val="clear" w:color="auto" w:fill="auto"/>
          </w:tcPr>
          <w:p w:rsidR="00CF3D58" w:rsidRPr="002073B7" w:rsidRDefault="001D5FF1" w:rsidP="00CC680A">
            <w:pPr>
              <w:rPr>
                <w:rFonts w:cs="Arial"/>
              </w:rPr>
            </w:pPr>
            <w:r>
              <w:rPr>
                <w:rFonts w:cs="Arial"/>
              </w:rPr>
              <w:t>Y</w:t>
            </w:r>
          </w:p>
        </w:tc>
        <w:tc>
          <w:tcPr>
            <w:tcW w:w="4820" w:type="dxa"/>
            <w:shd w:val="clear" w:color="auto" w:fill="auto"/>
          </w:tcPr>
          <w:p w:rsidR="00CF3D58" w:rsidRPr="003C1987" w:rsidRDefault="001D5FF1" w:rsidP="00042425">
            <w:pPr>
              <w:rPr>
                <w:rFonts w:cs="Arial"/>
              </w:rPr>
            </w:pPr>
            <w:r>
              <w:rPr>
                <w:rFonts w:cs="Arial"/>
                <w:iCs/>
              </w:rPr>
              <w:t xml:space="preserve">The original figure was determined on the basis of a comparison of housing and transport costs in Oxford and London.  It should be possible to repeat that exercise.  </w:t>
            </w:r>
            <w:r w:rsidR="00DA317E" w:rsidRPr="00042425">
              <w:rPr>
                <w:rFonts w:cs="Arial"/>
                <w:iCs/>
              </w:rPr>
              <w:t>The Council motion which committed us to the LW, proposed a £7 OLW against the £7.20 LLW, taking account of the work undertaken by the original research by Loughborough University and the Mayor of London and using Oxford housing and transport data. That relationship was subsequently translated into a 95% figure, in order to ensure that the OLW was maintained in line with a figure for the LLW that was well researched and supported by time series evidence. This percentage link makes the administration of the OLW straightforward and avoids the need for complex research to be undertaken locally at regular intervals.</w:t>
            </w:r>
          </w:p>
        </w:tc>
        <w:tc>
          <w:tcPr>
            <w:tcW w:w="1701" w:type="dxa"/>
          </w:tcPr>
          <w:p w:rsidR="00CF3D58" w:rsidRPr="00B44C14" w:rsidRDefault="00CF3D58" w:rsidP="00CC680A">
            <w:pPr>
              <w:rPr>
                <w:rFonts w:cs="Arial"/>
                <w:sz w:val="22"/>
                <w:szCs w:val="22"/>
              </w:rPr>
            </w:pPr>
            <w:r w:rsidRPr="00CF3D58">
              <w:rPr>
                <w:rFonts w:cs="Arial"/>
                <w:sz w:val="22"/>
                <w:szCs w:val="22"/>
              </w:rPr>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275" w:type="dxa"/>
          </w:tcPr>
          <w:p w:rsidR="00CF3D58" w:rsidRDefault="00CF3D58" w:rsidP="00CC680A">
            <w:r>
              <w:t xml:space="preserve">Nov </w:t>
            </w:r>
            <w:r w:rsidR="000907A4">
              <w:t>20</w:t>
            </w:r>
            <w:r>
              <w:t>15</w:t>
            </w:r>
          </w:p>
        </w:tc>
      </w:tr>
      <w:tr w:rsidR="00CF3D58" w:rsidTr="00EE65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t>4. We recommend that the City Council actively explores the merits of incentivising businesses to pay the Oxford Living Wage through offering business rate discounts.</w:t>
            </w:r>
          </w:p>
        </w:tc>
        <w:tc>
          <w:tcPr>
            <w:tcW w:w="992" w:type="dxa"/>
            <w:shd w:val="clear" w:color="auto" w:fill="auto"/>
          </w:tcPr>
          <w:p w:rsidR="00CF3D58" w:rsidRPr="00B44C14" w:rsidRDefault="00CF3D58" w:rsidP="00CC680A">
            <w:pPr>
              <w:rPr>
                <w:rFonts w:cs="Arial"/>
                <w:sz w:val="22"/>
                <w:szCs w:val="22"/>
              </w:rPr>
            </w:pPr>
            <w:r>
              <w:rPr>
                <w:rFonts w:cs="Arial"/>
                <w:sz w:val="22"/>
                <w:szCs w:val="22"/>
              </w:rPr>
              <w:t>Y</w:t>
            </w:r>
          </w:p>
        </w:tc>
        <w:tc>
          <w:tcPr>
            <w:tcW w:w="4820" w:type="dxa"/>
            <w:shd w:val="clear" w:color="auto" w:fill="auto"/>
          </w:tcPr>
          <w:p w:rsidR="00CF3D58" w:rsidRPr="003C1987" w:rsidRDefault="00CF3D58" w:rsidP="00CC680A">
            <w:pPr>
              <w:rPr>
                <w:rFonts w:cs="Arial"/>
                <w:sz w:val="22"/>
                <w:szCs w:val="22"/>
              </w:rPr>
            </w:pPr>
            <w:r w:rsidRPr="00CF3D58">
              <w:rPr>
                <w:rFonts w:cs="Arial"/>
                <w:sz w:val="22"/>
                <w:szCs w:val="22"/>
              </w:rPr>
              <w:t>We should consider this, but there are difficult issues of practical implementation as well as a potentially significant cost to the Council’s budget.</w:t>
            </w:r>
          </w:p>
        </w:tc>
        <w:tc>
          <w:tcPr>
            <w:tcW w:w="1701" w:type="dxa"/>
          </w:tcPr>
          <w:p w:rsidR="00CF3D58" w:rsidRPr="00B44C14" w:rsidRDefault="00CF3D58" w:rsidP="00CC680A">
            <w:pPr>
              <w:rPr>
                <w:rFonts w:cs="Arial"/>
                <w:sz w:val="22"/>
                <w:szCs w:val="22"/>
              </w:rPr>
            </w:pPr>
            <w:r w:rsidRPr="00CF3D58">
              <w:rPr>
                <w:rFonts w:cs="Arial"/>
                <w:sz w:val="22"/>
                <w:szCs w:val="22"/>
              </w:rPr>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275" w:type="dxa"/>
          </w:tcPr>
          <w:p w:rsidR="00CF3D58" w:rsidRDefault="00CF3D58" w:rsidP="00CC680A">
            <w:r>
              <w:t xml:space="preserve">Nov </w:t>
            </w:r>
            <w:r w:rsidR="000907A4">
              <w:t>20</w:t>
            </w:r>
            <w:r>
              <w:t>15</w:t>
            </w:r>
          </w:p>
        </w:tc>
      </w:tr>
      <w:tr w:rsidR="00CF3D58" w:rsidTr="00EE65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t xml:space="preserve">5. We recommend that the City Council seeks to be more pro-active in engaging with employers and encouraging them to pay the Oxford Living Wage.  This could also involve raising the profile of the Oxford Living Wage on the City Council website and listing employers that have committed to paying it.  </w:t>
            </w:r>
          </w:p>
        </w:tc>
        <w:tc>
          <w:tcPr>
            <w:tcW w:w="992" w:type="dxa"/>
            <w:shd w:val="clear" w:color="auto" w:fill="auto"/>
          </w:tcPr>
          <w:p w:rsidR="00CF3D58" w:rsidRPr="002073B7" w:rsidRDefault="00CF3D58" w:rsidP="00CC680A">
            <w:pPr>
              <w:rPr>
                <w:rFonts w:cs="Arial"/>
              </w:rPr>
            </w:pPr>
            <w:r>
              <w:rPr>
                <w:rFonts w:cs="Arial"/>
              </w:rPr>
              <w:t>Y</w:t>
            </w:r>
          </w:p>
        </w:tc>
        <w:tc>
          <w:tcPr>
            <w:tcW w:w="4820" w:type="dxa"/>
            <w:shd w:val="clear" w:color="auto" w:fill="auto"/>
          </w:tcPr>
          <w:p w:rsidR="00CF3D58" w:rsidRPr="003C1987" w:rsidRDefault="00CF3D58" w:rsidP="00CC680A">
            <w:pPr>
              <w:rPr>
                <w:rFonts w:cs="Arial"/>
              </w:rPr>
            </w:pPr>
            <w:r w:rsidRPr="00CF3D58">
              <w:rPr>
                <w:rFonts w:cs="Arial"/>
              </w:rPr>
              <w:t>As the portfolio holder, I have written to all the major employers to encourage them to pay the Living Wage and have engaged with many of them in the course of my visits to them over the past two and a half years. The suggestions about the website and employer listings are very good ones and will be adopted.</w:t>
            </w:r>
          </w:p>
        </w:tc>
        <w:tc>
          <w:tcPr>
            <w:tcW w:w="1701" w:type="dxa"/>
          </w:tcPr>
          <w:p w:rsidR="00CF3D58" w:rsidRPr="00B44C14" w:rsidRDefault="00CF3D58" w:rsidP="00CC680A">
            <w:pPr>
              <w:rPr>
                <w:rFonts w:cs="Arial"/>
                <w:sz w:val="22"/>
                <w:szCs w:val="22"/>
              </w:rPr>
            </w:pPr>
            <w:r w:rsidRPr="00CF3D58">
              <w:rPr>
                <w:rFonts w:cs="Arial"/>
                <w:sz w:val="22"/>
                <w:szCs w:val="22"/>
              </w:rPr>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275" w:type="dxa"/>
          </w:tcPr>
          <w:p w:rsidR="00CF3D58" w:rsidRDefault="00CF3D58" w:rsidP="00CC680A">
            <w:r>
              <w:t xml:space="preserve">Nov </w:t>
            </w:r>
            <w:r w:rsidR="000907A4">
              <w:t>20</w:t>
            </w:r>
            <w:r>
              <w:t>15</w:t>
            </w:r>
          </w:p>
        </w:tc>
      </w:tr>
      <w:tr w:rsidR="00BD7A68" w:rsidRPr="00B44C14" w:rsidTr="00BD7A6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7A68" w:rsidRPr="00B44C14" w:rsidRDefault="00BD7A68" w:rsidP="00BD7A68">
            <w:pPr>
              <w:rPr>
                <w:rFonts w:cs="Arial"/>
                <w:b/>
                <w:bCs/>
                <w:sz w:val="22"/>
                <w:szCs w:val="22"/>
              </w:rPr>
            </w:pPr>
            <w:r>
              <w:rPr>
                <w:rFonts w:cs="Arial"/>
                <w:b/>
                <w:bCs/>
                <w:sz w:val="22"/>
                <w:szCs w:val="22"/>
              </w:rPr>
              <w:lastRenderedPageBreak/>
              <w:t>Activities for Older People and Preventing Isolation – Scrutiny Committee 3 February</w:t>
            </w:r>
          </w:p>
        </w:tc>
      </w:tr>
      <w:tr w:rsidR="00BD7A68" w:rsidRPr="00B44C14" w:rsidTr="00EE650A">
        <w:tc>
          <w:tcPr>
            <w:tcW w:w="5245"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Recommendation</w:t>
            </w:r>
          </w:p>
        </w:tc>
        <w:tc>
          <w:tcPr>
            <w:tcW w:w="992"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Agreed Y/N</w:t>
            </w:r>
          </w:p>
        </w:tc>
        <w:tc>
          <w:tcPr>
            <w:tcW w:w="4820"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Executive response</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 xml:space="preserve">Lead Member &amp; Officer </w:t>
            </w:r>
          </w:p>
        </w:tc>
        <w:tc>
          <w:tcPr>
            <w:tcW w:w="1275" w:type="dxa"/>
            <w:vAlign w:val="center"/>
          </w:tcPr>
          <w:p w:rsidR="00BD7A68" w:rsidRPr="00B44C14" w:rsidRDefault="00BD7A68" w:rsidP="00BD7A68">
            <w:pPr>
              <w:rPr>
                <w:rFonts w:cs="Arial"/>
                <w:b/>
                <w:sz w:val="22"/>
                <w:szCs w:val="22"/>
              </w:rPr>
            </w:pPr>
            <w:r w:rsidRPr="00B44C14">
              <w:rPr>
                <w:rFonts w:cs="Arial"/>
                <w:b/>
                <w:sz w:val="22"/>
                <w:szCs w:val="22"/>
              </w:rPr>
              <w:t>Implemented Y/N / due date</w:t>
            </w:r>
          </w:p>
        </w:tc>
      </w:tr>
      <w:tr w:rsidR="00BD7A68" w:rsidTr="00EE650A">
        <w:tc>
          <w:tcPr>
            <w:tcW w:w="5245" w:type="dxa"/>
            <w:shd w:val="clear" w:color="auto" w:fill="auto"/>
            <w:vAlign w:val="center"/>
          </w:tcPr>
          <w:p w:rsidR="00BD7A68" w:rsidRPr="00B44C14" w:rsidRDefault="00114FF4" w:rsidP="00BD7A68">
            <w:pPr>
              <w:rPr>
                <w:rFonts w:cs="Arial"/>
                <w:sz w:val="22"/>
                <w:szCs w:val="22"/>
              </w:rPr>
            </w:pPr>
            <w:r>
              <w:rPr>
                <w:rFonts w:cs="Arial"/>
                <w:sz w:val="22"/>
                <w:szCs w:val="22"/>
              </w:rPr>
              <w:t xml:space="preserve">1. </w:t>
            </w:r>
            <w:r w:rsidR="00BD7A68" w:rsidRPr="00BD7A68">
              <w:rPr>
                <w:rFonts w:cs="Arial"/>
                <w:sz w:val="22"/>
                <w:szCs w:val="22"/>
              </w:rPr>
              <w:t>That a high level review takes place to flag up any issues of non-compliance with the Equalities Act.</w:t>
            </w:r>
          </w:p>
        </w:tc>
        <w:tc>
          <w:tcPr>
            <w:tcW w:w="992" w:type="dxa"/>
            <w:shd w:val="clear" w:color="auto" w:fill="auto"/>
          </w:tcPr>
          <w:p w:rsidR="00BD7A68" w:rsidRPr="00B44C14" w:rsidRDefault="0021254A" w:rsidP="00BD7A68">
            <w:pPr>
              <w:rPr>
                <w:rFonts w:cs="Arial"/>
                <w:sz w:val="22"/>
                <w:szCs w:val="22"/>
              </w:rPr>
            </w:pPr>
            <w:r>
              <w:rPr>
                <w:rFonts w:cs="Arial"/>
                <w:sz w:val="22"/>
                <w:szCs w:val="22"/>
              </w:rPr>
              <w:t>Y</w:t>
            </w:r>
          </w:p>
        </w:tc>
        <w:tc>
          <w:tcPr>
            <w:tcW w:w="4820" w:type="dxa"/>
            <w:shd w:val="clear" w:color="auto" w:fill="auto"/>
          </w:tcPr>
          <w:p w:rsidR="00BD7A68" w:rsidRPr="001F088D" w:rsidRDefault="00BD7A68" w:rsidP="00BD7A68">
            <w:pPr>
              <w:rPr>
                <w:rFonts w:cs="Arial"/>
                <w:i/>
                <w:sz w:val="22"/>
                <w:szCs w:val="22"/>
              </w:rPr>
            </w:pPr>
          </w:p>
        </w:tc>
        <w:tc>
          <w:tcPr>
            <w:tcW w:w="1701" w:type="dxa"/>
          </w:tcPr>
          <w:p w:rsidR="00BD7A68" w:rsidRPr="00B44C14" w:rsidRDefault="00A068C0" w:rsidP="00BD7A68">
            <w:pPr>
              <w:rPr>
                <w:rFonts w:cs="Arial"/>
                <w:sz w:val="22"/>
                <w:szCs w:val="22"/>
              </w:rPr>
            </w:pPr>
            <w:r>
              <w:rPr>
                <w:rFonts w:cs="Arial"/>
                <w:sz w:val="22"/>
                <w:szCs w:val="22"/>
              </w:rPr>
              <w:t xml:space="preserve">Cllr </w:t>
            </w:r>
            <w:proofErr w:type="spellStart"/>
            <w:r>
              <w:rPr>
                <w:rFonts w:cs="Arial"/>
                <w:sz w:val="22"/>
                <w:szCs w:val="22"/>
              </w:rPr>
              <w:t>Simm</w:t>
            </w:r>
            <w:proofErr w:type="spellEnd"/>
          </w:p>
        </w:tc>
        <w:tc>
          <w:tcPr>
            <w:tcW w:w="1275" w:type="dxa"/>
          </w:tcPr>
          <w:p w:rsidR="00BD7A68" w:rsidRDefault="00BD7A68" w:rsidP="00BD7A68"/>
        </w:tc>
      </w:tr>
      <w:tr w:rsidR="00BD7A68" w:rsidRPr="00B44C14" w:rsidTr="00BD7A6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7A68" w:rsidRPr="00B44C14" w:rsidRDefault="00BD7A68" w:rsidP="00BD7A68">
            <w:pPr>
              <w:rPr>
                <w:rFonts w:cs="Arial"/>
                <w:b/>
                <w:bCs/>
                <w:sz w:val="22"/>
                <w:szCs w:val="22"/>
              </w:rPr>
            </w:pPr>
            <w:r>
              <w:rPr>
                <w:rFonts w:cs="Arial"/>
                <w:b/>
                <w:bCs/>
                <w:sz w:val="22"/>
                <w:szCs w:val="22"/>
              </w:rPr>
              <w:t>Communities and Neighbourhood Services – Scrutiny Committee 3 February</w:t>
            </w:r>
          </w:p>
        </w:tc>
      </w:tr>
      <w:tr w:rsidR="00BD7A68" w:rsidRPr="00B44C14" w:rsidTr="00EE650A">
        <w:tc>
          <w:tcPr>
            <w:tcW w:w="5245"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Recommendation</w:t>
            </w:r>
          </w:p>
        </w:tc>
        <w:tc>
          <w:tcPr>
            <w:tcW w:w="992"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Agreed Y/N</w:t>
            </w:r>
          </w:p>
        </w:tc>
        <w:tc>
          <w:tcPr>
            <w:tcW w:w="4820"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Executive response</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 xml:space="preserve">Lead Member &amp; Officer </w:t>
            </w:r>
          </w:p>
        </w:tc>
        <w:tc>
          <w:tcPr>
            <w:tcW w:w="1275" w:type="dxa"/>
            <w:vAlign w:val="center"/>
          </w:tcPr>
          <w:p w:rsidR="00BD7A68" w:rsidRPr="00B44C14" w:rsidRDefault="00BD7A68" w:rsidP="00BD7A68">
            <w:pPr>
              <w:rPr>
                <w:rFonts w:cs="Arial"/>
                <w:b/>
                <w:sz w:val="22"/>
                <w:szCs w:val="22"/>
              </w:rPr>
            </w:pPr>
            <w:r w:rsidRPr="00B44C14">
              <w:rPr>
                <w:rFonts w:cs="Arial"/>
                <w:b/>
                <w:sz w:val="22"/>
                <w:szCs w:val="22"/>
              </w:rPr>
              <w:t>Implemented Y/N / due date</w:t>
            </w:r>
          </w:p>
        </w:tc>
      </w:tr>
      <w:tr w:rsidR="00BD7A68" w:rsidTr="00EE650A">
        <w:tc>
          <w:tcPr>
            <w:tcW w:w="5245" w:type="dxa"/>
            <w:shd w:val="clear" w:color="auto" w:fill="auto"/>
          </w:tcPr>
          <w:p w:rsidR="00BD7A68" w:rsidRPr="00B44C14" w:rsidRDefault="00114FF4" w:rsidP="00114FF4">
            <w:pPr>
              <w:rPr>
                <w:rFonts w:cs="Arial"/>
                <w:sz w:val="22"/>
                <w:szCs w:val="22"/>
              </w:rPr>
            </w:pPr>
            <w:r>
              <w:rPr>
                <w:rFonts w:cs="Arial"/>
                <w:sz w:val="22"/>
                <w:szCs w:val="22"/>
              </w:rPr>
              <w:t xml:space="preserve">1. </w:t>
            </w:r>
            <w:r w:rsidR="00BD7A68" w:rsidRPr="00BD7A68">
              <w:rPr>
                <w:rFonts w:cs="Arial"/>
                <w:sz w:val="22"/>
                <w:szCs w:val="22"/>
              </w:rPr>
              <w:t>That the review of priority areas draws on the findings of the Inequalities Scrutiny Panel, as well as the latest social research data.</w:t>
            </w:r>
          </w:p>
        </w:tc>
        <w:tc>
          <w:tcPr>
            <w:tcW w:w="992" w:type="dxa"/>
            <w:shd w:val="clear" w:color="auto" w:fill="auto"/>
          </w:tcPr>
          <w:p w:rsidR="00BD7A68" w:rsidRPr="00B44C14" w:rsidRDefault="00A068C0" w:rsidP="00114FF4">
            <w:pPr>
              <w:rPr>
                <w:rFonts w:cs="Arial"/>
                <w:sz w:val="22"/>
                <w:szCs w:val="22"/>
              </w:rPr>
            </w:pPr>
            <w:r>
              <w:rPr>
                <w:rFonts w:cs="Arial"/>
                <w:sz w:val="22"/>
                <w:szCs w:val="22"/>
              </w:rPr>
              <w:t>Y</w:t>
            </w:r>
          </w:p>
        </w:tc>
        <w:tc>
          <w:tcPr>
            <w:tcW w:w="4820" w:type="dxa"/>
            <w:shd w:val="clear" w:color="auto" w:fill="auto"/>
          </w:tcPr>
          <w:p w:rsidR="00BD7A68" w:rsidRPr="00A068C0" w:rsidRDefault="00A068C0" w:rsidP="00114FF4">
            <w:pPr>
              <w:rPr>
                <w:rFonts w:cs="Arial"/>
                <w:sz w:val="22"/>
                <w:szCs w:val="22"/>
              </w:rPr>
            </w:pPr>
            <w:r w:rsidRPr="00A068C0">
              <w:rPr>
                <w:rFonts w:cs="Arial"/>
                <w:sz w:val="22"/>
                <w:szCs w:val="22"/>
              </w:rPr>
              <w:t xml:space="preserve">I am fully in support of work being undertaken to identify areas deprivation throughout the City </w:t>
            </w:r>
            <w:proofErr w:type="spellStart"/>
            <w:r w:rsidRPr="00A068C0">
              <w:rPr>
                <w:rFonts w:cs="Arial"/>
                <w:sz w:val="22"/>
                <w:szCs w:val="22"/>
              </w:rPr>
              <w:t>outwith</w:t>
            </w:r>
            <w:proofErr w:type="spellEnd"/>
            <w:r w:rsidRPr="00A068C0">
              <w:rPr>
                <w:rFonts w:cs="Arial"/>
                <w:sz w:val="22"/>
                <w:szCs w:val="22"/>
              </w:rPr>
              <w:t xml:space="preserve"> the seven identified areas. Work is underway to provide an evidence based report to identify demographic change and areas of need drawing upon multiple indices of deprivation. The findings of the Inequalities Scrutiny Panel will inform this undertaking and I expect to be able to present a completed report in the summer of this year.</w:t>
            </w:r>
          </w:p>
        </w:tc>
        <w:tc>
          <w:tcPr>
            <w:tcW w:w="1701" w:type="dxa"/>
          </w:tcPr>
          <w:p w:rsidR="00BD7A68" w:rsidRPr="00B44C14" w:rsidRDefault="00A068C0" w:rsidP="00114FF4">
            <w:pPr>
              <w:rPr>
                <w:rFonts w:cs="Arial"/>
                <w:sz w:val="22"/>
                <w:szCs w:val="22"/>
              </w:rPr>
            </w:pPr>
            <w:r>
              <w:rPr>
                <w:rFonts w:cs="Arial"/>
                <w:sz w:val="22"/>
                <w:szCs w:val="22"/>
              </w:rPr>
              <w:t xml:space="preserve">Cllr </w:t>
            </w:r>
            <w:proofErr w:type="spellStart"/>
            <w:r>
              <w:rPr>
                <w:rFonts w:cs="Arial"/>
                <w:sz w:val="22"/>
                <w:szCs w:val="22"/>
              </w:rPr>
              <w:t>Simm</w:t>
            </w:r>
            <w:proofErr w:type="spellEnd"/>
          </w:p>
        </w:tc>
        <w:tc>
          <w:tcPr>
            <w:tcW w:w="1275" w:type="dxa"/>
          </w:tcPr>
          <w:p w:rsidR="00BD7A68" w:rsidRDefault="00D17647" w:rsidP="00114FF4">
            <w:r>
              <w:t>June 15</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STAR Survey results – Housing Panel 22 January</w:t>
            </w:r>
          </w:p>
        </w:tc>
      </w:tr>
      <w:tr w:rsidR="00316382" w:rsidRPr="00B44C14" w:rsidTr="00EE650A">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820"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275"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2073B7" w:rsidRPr="00B44C14" w:rsidTr="00EE650A">
        <w:tc>
          <w:tcPr>
            <w:tcW w:w="5245" w:type="dxa"/>
            <w:shd w:val="clear" w:color="auto" w:fill="auto"/>
          </w:tcPr>
          <w:p w:rsidR="002073B7" w:rsidRPr="00B44C14" w:rsidRDefault="002073B7" w:rsidP="00114FF4">
            <w:pPr>
              <w:rPr>
                <w:rFonts w:cs="Arial"/>
                <w:sz w:val="22"/>
                <w:szCs w:val="22"/>
              </w:rPr>
            </w:pPr>
            <w:r w:rsidRPr="008C0949">
              <w:rPr>
                <w:rFonts w:cs="Arial"/>
                <w:sz w:val="22"/>
                <w:szCs w:val="22"/>
              </w:rPr>
              <w:t>1. That the City Council reviews the methodology used to measure tenant satisfaction, and aims to make personal contact with tenants in future.</w:t>
            </w:r>
          </w:p>
        </w:tc>
        <w:tc>
          <w:tcPr>
            <w:tcW w:w="992" w:type="dxa"/>
            <w:shd w:val="clear" w:color="auto" w:fill="auto"/>
          </w:tcPr>
          <w:p w:rsidR="002073B7" w:rsidRPr="002073B7" w:rsidRDefault="002073B7" w:rsidP="00316382">
            <w:pPr>
              <w:rPr>
                <w:rFonts w:cs="Arial"/>
              </w:rPr>
            </w:pPr>
            <w:r w:rsidRPr="002073B7">
              <w:rPr>
                <w:rFonts w:cs="Arial"/>
              </w:rPr>
              <w:t>Y</w:t>
            </w:r>
          </w:p>
        </w:tc>
        <w:tc>
          <w:tcPr>
            <w:tcW w:w="4820" w:type="dxa"/>
            <w:shd w:val="clear" w:color="auto" w:fill="auto"/>
          </w:tcPr>
          <w:p w:rsidR="002073B7" w:rsidRPr="002073B7" w:rsidRDefault="002073B7" w:rsidP="002073B7">
            <w:pPr>
              <w:rPr>
                <w:rFonts w:cs="Arial"/>
                <w:i/>
              </w:rPr>
            </w:pPr>
            <w:r w:rsidRPr="002073B7">
              <w:rPr>
                <w:rFonts w:cs="Arial"/>
                <w:sz w:val="22"/>
                <w:lang w:eastAsia="en-GB"/>
              </w:rPr>
              <w:t xml:space="preserve">Cllr </w:t>
            </w:r>
            <w:proofErr w:type="spellStart"/>
            <w:r w:rsidRPr="002073B7">
              <w:rPr>
                <w:rFonts w:cs="Arial"/>
                <w:sz w:val="22"/>
                <w:lang w:eastAsia="en-GB"/>
              </w:rPr>
              <w:t>Seamons</w:t>
            </w:r>
            <w:proofErr w:type="spellEnd"/>
            <w:r w:rsidRPr="002073B7">
              <w:rPr>
                <w:rFonts w:cs="Arial"/>
                <w:sz w:val="22"/>
                <w:lang w:eastAsia="en-GB"/>
              </w:rPr>
              <w:t>, Board member for Housing and Estate Regeneration said the Council needed to set out its response to the STAR survey. He asked that Scrutiny assist in reviewing the methodology used to measure tenant satisfaction and said that once the Oxford standard was implemented - it would raise the standard of peoples’ homes.</w:t>
            </w:r>
          </w:p>
        </w:tc>
        <w:tc>
          <w:tcPr>
            <w:tcW w:w="1701" w:type="dxa"/>
          </w:tcPr>
          <w:p w:rsidR="002073B7" w:rsidRPr="00B44C14" w:rsidRDefault="002073B7" w:rsidP="00316382">
            <w:pPr>
              <w:rPr>
                <w:rFonts w:cs="Arial"/>
                <w:sz w:val="22"/>
                <w:szCs w:val="22"/>
              </w:rPr>
            </w:pPr>
            <w:r>
              <w:rPr>
                <w:rFonts w:cs="Arial"/>
                <w:sz w:val="22"/>
                <w:szCs w:val="22"/>
              </w:rPr>
              <w:t xml:space="preserve">Cllr </w:t>
            </w:r>
            <w:proofErr w:type="spellStart"/>
            <w:r>
              <w:rPr>
                <w:rFonts w:cs="Arial"/>
                <w:sz w:val="22"/>
                <w:szCs w:val="22"/>
              </w:rPr>
              <w:t>Seamons</w:t>
            </w:r>
            <w:proofErr w:type="spellEnd"/>
          </w:p>
        </w:tc>
        <w:tc>
          <w:tcPr>
            <w:tcW w:w="1275" w:type="dxa"/>
          </w:tcPr>
          <w:p w:rsidR="002073B7" w:rsidRDefault="002073B7"/>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lastRenderedPageBreak/>
              <w:t>Fuel Poverty – Housing Panel 22 January</w:t>
            </w:r>
          </w:p>
        </w:tc>
      </w:tr>
      <w:tr w:rsidR="00316382" w:rsidRPr="00B44C14" w:rsidTr="00EE650A">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820"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275" w:type="dxa"/>
            <w:vAlign w:val="center"/>
          </w:tcPr>
          <w:p w:rsidR="00316382" w:rsidRPr="00B44C14" w:rsidRDefault="00114FF4" w:rsidP="00316382">
            <w:pPr>
              <w:rPr>
                <w:rFonts w:cs="Arial"/>
                <w:b/>
                <w:sz w:val="22"/>
                <w:szCs w:val="22"/>
              </w:rPr>
            </w:pPr>
            <w:r>
              <w:rPr>
                <w:rFonts w:cs="Arial"/>
                <w:b/>
                <w:sz w:val="22"/>
                <w:szCs w:val="22"/>
              </w:rPr>
              <w:t>D</w:t>
            </w:r>
            <w:r w:rsidR="00316382" w:rsidRPr="00B44C14">
              <w:rPr>
                <w:rFonts w:cs="Arial"/>
                <w:b/>
                <w:sz w:val="22"/>
                <w:szCs w:val="22"/>
              </w:rPr>
              <w:t>ue date</w:t>
            </w:r>
          </w:p>
        </w:tc>
      </w:tr>
      <w:tr w:rsidR="002C0C24" w:rsidRPr="00B44C14" w:rsidTr="00EE650A">
        <w:tc>
          <w:tcPr>
            <w:tcW w:w="5245" w:type="dxa"/>
            <w:shd w:val="clear" w:color="auto" w:fill="auto"/>
            <w:vAlign w:val="center"/>
          </w:tcPr>
          <w:p w:rsidR="002C0C24" w:rsidRPr="00B44C14" w:rsidRDefault="002C0C24" w:rsidP="00316382">
            <w:pPr>
              <w:rPr>
                <w:rFonts w:cs="Arial"/>
                <w:sz w:val="22"/>
                <w:szCs w:val="22"/>
              </w:rPr>
            </w:pPr>
            <w:r w:rsidRPr="008C0949">
              <w:rPr>
                <w:rFonts w:cs="Arial"/>
                <w:sz w:val="22"/>
                <w:szCs w:val="22"/>
              </w:rPr>
              <w:t xml:space="preserve">1. That tenant-facing staff in Direct Services are encouraged to offer appropriate advice on the use of free electricity.   </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820" w:type="dxa"/>
            <w:vMerge w:val="restart"/>
            <w:shd w:val="clear" w:color="auto" w:fill="auto"/>
          </w:tcPr>
          <w:p w:rsidR="002C0C24" w:rsidRPr="002C0C24" w:rsidRDefault="002C0C24" w:rsidP="002C0C24">
            <w:pPr>
              <w:rPr>
                <w:rFonts w:cs="Arial"/>
                <w:sz w:val="22"/>
                <w:szCs w:val="22"/>
              </w:rPr>
            </w:pPr>
            <w:r w:rsidRPr="002C0C24">
              <w:rPr>
                <w:rFonts w:cs="Arial"/>
                <w:sz w:val="22"/>
                <w:szCs w:val="22"/>
              </w:rPr>
              <w:t xml:space="preserve">Cllr </w:t>
            </w:r>
            <w:proofErr w:type="spellStart"/>
            <w:r w:rsidRPr="002C0C24">
              <w:rPr>
                <w:rFonts w:cs="Arial"/>
                <w:sz w:val="22"/>
                <w:szCs w:val="22"/>
              </w:rPr>
              <w:t>Seamons</w:t>
            </w:r>
            <w:proofErr w:type="spellEnd"/>
            <w:r w:rsidRPr="002C0C24">
              <w:rPr>
                <w:rFonts w:cs="Arial"/>
                <w:sz w:val="22"/>
                <w:szCs w:val="22"/>
              </w:rPr>
              <w:t>, Board member for Housing and Estate Regeneration agreed the two recommendations and would look into both pieces of work.</w:t>
            </w:r>
          </w:p>
          <w:p w:rsidR="002C0C24" w:rsidRPr="001F088D" w:rsidRDefault="002C0C24" w:rsidP="002C0C24">
            <w:pPr>
              <w:rPr>
                <w:rFonts w:cs="Arial"/>
                <w:i/>
                <w:sz w:val="22"/>
                <w:szCs w:val="22"/>
              </w:rPr>
            </w:pPr>
            <w:r w:rsidRPr="002C0C24">
              <w:rPr>
                <w:rFonts w:cs="Arial"/>
                <w:sz w:val="22"/>
                <w:szCs w:val="22"/>
              </w:rPr>
              <w:t xml:space="preserve">Cllr Turner explained that the consultation budget recommended a free energy </w:t>
            </w:r>
            <w:bookmarkStart w:id="0" w:name="_GoBack"/>
            <w:bookmarkEnd w:id="0"/>
            <w:r w:rsidRPr="002C0C24">
              <w:rPr>
                <w:rFonts w:cs="Arial"/>
                <w:sz w:val="22"/>
                <w:szCs w:val="22"/>
              </w:rPr>
              <w:t>efficiency review for every council home.</w:t>
            </w:r>
          </w:p>
        </w:tc>
        <w:tc>
          <w:tcPr>
            <w:tcW w:w="1701" w:type="dxa"/>
          </w:tcPr>
          <w:p w:rsidR="002C0C24" w:rsidRPr="00B44C14" w:rsidRDefault="002C0C24" w:rsidP="00316382">
            <w:pPr>
              <w:rPr>
                <w:rFonts w:cs="Arial"/>
                <w:sz w:val="22"/>
                <w:szCs w:val="22"/>
              </w:rPr>
            </w:pPr>
            <w:r>
              <w:rPr>
                <w:rFonts w:cs="Arial"/>
                <w:sz w:val="22"/>
                <w:szCs w:val="22"/>
              </w:rPr>
              <w:t xml:space="preserve">Cllrs Turner &amp; </w:t>
            </w:r>
            <w:proofErr w:type="spellStart"/>
            <w:r>
              <w:rPr>
                <w:rFonts w:cs="Arial"/>
                <w:sz w:val="22"/>
                <w:szCs w:val="22"/>
              </w:rPr>
              <w:t>Seamons</w:t>
            </w:r>
            <w:proofErr w:type="spellEnd"/>
          </w:p>
        </w:tc>
        <w:tc>
          <w:tcPr>
            <w:tcW w:w="1275" w:type="dxa"/>
          </w:tcPr>
          <w:p w:rsidR="002C0C24" w:rsidRDefault="002C0C24"/>
        </w:tc>
      </w:tr>
      <w:tr w:rsidR="002C0C24" w:rsidRPr="00B44C14" w:rsidTr="00EE650A">
        <w:tc>
          <w:tcPr>
            <w:tcW w:w="5245" w:type="dxa"/>
            <w:shd w:val="clear" w:color="auto" w:fill="auto"/>
          </w:tcPr>
          <w:p w:rsidR="002C0C24" w:rsidRPr="00B44C14" w:rsidRDefault="002C0C24" w:rsidP="00114FF4">
            <w:pPr>
              <w:rPr>
                <w:rFonts w:cs="Arial"/>
                <w:sz w:val="22"/>
                <w:szCs w:val="22"/>
              </w:rPr>
            </w:pPr>
            <w:r w:rsidRPr="008C0949">
              <w:rPr>
                <w:rFonts w:cs="Arial"/>
                <w:sz w:val="22"/>
                <w:szCs w:val="22"/>
              </w:rPr>
              <w:t>2. That the City Council explores the possibility of buying energy in bulk.</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820" w:type="dxa"/>
            <w:vMerge/>
            <w:shd w:val="clear" w:color="auto" w:fill="auto"/>
          </w:tcPr>
          <w:p w:rsidR="002C0C24" w:rsidRPr="001F088D" w:rsidRDefault="002C0C24" w:rsidP="00316382">
            <w:pPr>
              <w:rPr>
                <w:rFonts w:cs="Arial"/>
                <w:i/>
                <w:sz w:val="22"/>
                <w:szCs w:val="22"/>
              </w:rPr>
            </w:pPr>
          </w:p>
        </w:tc>
        <w:tc>
          <w:tcPr>
            <w:tcW w:w="1701" w:type="dxa"/>
          </w:tcPr>
          <w:p w:rsidR="002C0C24" w:rsidRPr="00B44C14" w:rsidRDefault="002C0C24" w:rsidP="00316382">
            <w:pPr>
              <w:rPr>
                <w:rFonts w:cs="Arial"/>
                <w:sz w:val="22"/>
                <w:szCs w:val="22"/>
              </w:rPr>
            </w:pPr>
            <w:r w:rsidRPr="008C0949">
              <w:rPr>
                <w:rFonts w:cs="Arial"/>
                <w:sz w:val="22"/>
                <w:szCs w:val="22"/>
              </w:rPr>
              <w:t xml:space="preserve">Cllrs Turner &amp; </w:t>
            </w:r>
            <w:proofErr w:type="spellStart"/>
            <w:r w:rsidRPr="008C0949">
              <w:rPr>
                <w:rFonts w:cs="Arial"/>
                <w:sz w:val="22"/>
                <w:szCs w:val="22"/>
              </w:rPr>
              <w:t>Seamons</w:t>
            </w:r>
            <w:proofErr w:type="spellEnd"/>
          </w:p>
        </w:tc>
        <w:tc>
          <w:tcPr>
            <w:tcW w:w="1275" w:type="dxa"/>
          </w:tcPr>
          <w:p w:rsidR="002C0C24" w:rsidRDefault="002C0C24"/>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Banking Services Provider – Finance Panel 21 January</w:t>
            </w:r>
          </w:p>
        </w:tc>
      </w:tr>
      <w:tr w:rsidR="00316382" w:rsidRPr="00B44C14" w:rsidTr="00EE650A">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820"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275" w:type="dxa"/>
            <w:vAlign w:val="center"/>
          </w:tcPr>
          <w:p w:rsidR="00316382" w:rsidRPr="00B44C14" w:rsidRDefault="00114FF4" w:rsidP="00316382">
            <w:pPr>
              <w:rPr>
                <w:rFonts w:cs="Arial"/>
                <w:b/>
                <w:sz w:val="22"/>
                <w:szCs w:val="22"/>
              </w:rPr>
            </w:pPr>
            <w:r>
              <w:rPr>
                <w:rFonts w:cs="Arial"/>
                <w:b/>
                <w:sz w:val="22"/>
                <w:szCs w:val="22"/>
              </w:rPr>
              <w:t>D</w:t>
            </w:r>
            <w:r w:rsidR="00316382" w:rsidRPr="00B44C14">
              <w:rPr>
                <w:rFonts w:cs="Arial"/>
                <w:b/>
                <w:sz w:val="22"/>
                <w:szCs w:val="22"/>
              </w:rPr>
              <w:t>ue date</w:t>
            </w:r>
          </w:p>
        </w:tc>
      </w:tr>
      <w:tr w:rsidR="002C0C24" w:rsidRPr="00B44C14" w:rsidTr="00EE650A">
        <w:tc>
          <w:tcPr>
            <w:tcW w:w="5245" w:type="dxa"/>
            <w:shd w:val="clear" w:color="auto" w:fill="auto"/>
          </w:tcPr>
          <w:p w:rsidR="002C0C24" w:rsidRPr="008C0949" w:rsidRDefault="002C0C24" w:rsidP="00BB1942">
            <w:pPr>
              <w:rPr>
                <w:sz w:val="22"/>
                <w:szCs w:val="22"/>
              </w:rPr>
            </w:pPr>
            <w:r>
              <w:rPr>
                <w:sz w:val="22"/>
                <w:szCs w:val="22"/>
              </w:rPr>
              <w:t xml:space="preserve">1. </w:t>
            </w:r>
            <w:r w:rsidRPr="008C0949">
              <w:rPr>
                <w:sz w:val="22"/>
                <w:szCs w:val="22"/>
              </w:rPr>
              <w:t>That the City Council monitors the added social value provided by its new bank.</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820" w:type="dxa"/>
            <w:shd w:val="clear" w:color="auto" w:fill="auto"/>
          </w:tcPr>
          <w:p w:rsidR="00BB1942" w:rsidRPr="00BB1942" w:rsidRDefault="00BB1942" w:rsidP="00BB1942">
            <w:pPr>
              <w:rPr>
                <w:rFonts w:cs="Arial"/>
                <w:sz w:val="22"/>
                <w:szCs w:val="22"/>
              </w:rPr>
            </w:pPr>
            <w:r w:rsidRPr="00BB1942">
              <w:rPr>
                <w:rFonts w:cs="Arial"/>
                <w:sz w:val="22"/>
                <w:szCs w:val="22"/>
              </w:rPr>
              <w:t>The Report to Finance Scrutiny Panel gives examples of areas where Barclays bank</w:t>
            </w:r>
            <w:r>
              <w:rPr>
                <w:rFonts w:cs="Arial"/>
                <w:sz w:val="22"/>
                <w:szCs w:val="22"/>
              </w:rPr>
              <w:t xml:space="preserve"> </w:t>
            </w:r>
            <w:r w:rsidRPr="00BB1942">
              <w:rPr>
                <w:rFonts w:cs="Arial"/>
                <w:sz w:val="22"/>
                <w:szCs w:val="22"/>
              </w:rPr>
              <w:t>gave added value in support to local business and communities in Oxford, including :</w:t>
            </w:r>
          </w:p>
          <w:p w:rsidR="00BB1942" w:rsidRPr="00BB1942" w:rsidRDefault="00BB1942" w:rsidP="00BB1942">
            <w:pPr>
              <w:rPr>
                <w:rFonts w:cs="Arial"/>
                <w:sz w:val="22"/>
                <w:szCs w:val="22"/>
              </w:rPr>
            </w:pPr>
            <w:r w:rsidRPr="00BB1942">
              <w:rPr>
                <w:rFonts w:cs="Arial"/>
                <w:sz w:val="22"/>
                <w:szCs w:val="22"/>
              </w:rPr>
              <w:t>a. Skills based volunteering with schools across Oxfordshire</w:t>
            </w:r>
          </w:p>
          <w:p w:rsidR="00BB1942" w:rsidRPr="00BB1942" w:rsidRDefault="00BB1942" w:rsidP="00BB1942">
            <w:pPr>
              <w:rPr>
                <w:rFonts w:cs="Arial"/>
                <w:sz w:val="22"/>
                <w:szCs w:val="22"/>
              </w:rPr>
            </w:pPr>
            <w:r w:rsidRPr="00BB1942">
              <w:rPr>
                <w:rFonts w:cs="Arial"/>
                <w:sz w:val="22"/>
                <w:szCs w:val="22"/>
              </w:rPr>
              <w:t>b. Staff volunteering to carry out activities in the local community of</w:t>
            </w:r>
            <w:r>
              <w:rPr>
                <w:rFonts w:cs="Arial"/>
                <w:sz w:val="22"/>
                <w:szCs w:val="22"/>
              </w:rPr>
              <w:t xml:space="preserve"> </w:t>
            </w:r>
            <w:r w:rsidRPr="00BB1942">
              <w:rPr>
                <w:rFonts w:cs="Arial"/>
                <w:sz w:val="22"/>
                <w:szCs w:val="22"/>
              </w:rPr>
              <w:t>Oxford</w:t>
            </w:r>
          </w:p>
          <w:p w:rsidR="00BB1942" w:rsidRPr="00BB1942" w:rsidRDefault="00BB1942" w:rsidP="00BB1942">
            <w:pPr>
              <w:rPr>
                <w:rFonts w:cs="Arial"/>
                <w:sz w:val="22"/>
                <w:szCs w:val="22"/>
              </w:rPr>
            </w:pPr>
            <w:r w:rsidRPr="00BB1942">
              <w:rPr>
                <w:rFonts w:cs="Arial"/>
                <w:sz w:val="22"/>
                <w:szCs w:val="22"/>
              </w:rPr>
              <w:t>c. Life skills – education programme for 11-19 year olds</w:t>
            </w:r>
          </w:p>
          <w:p w:rsidR="00BB1942" w:rsidRPr="00BB1942" w:rsidRDefault="00BB1942" w:rsidP="00BB1942">
            <w:pPr>
              <w:rPr>
                <w:rFonts w:cs="Arial"/>
                <w:sz w:val="22"/>
                <w:szCs w:val="22"/>
              </w:rPr>
            </w:pPr>
            <w:r w:rsidRPr="00BB1942">
              <w:rPr>
                <w:rFonts w:cs="Arial"/>
                <w:sz w:val="22"/>
                <w:szCs w:val="22"/>
              </w:rPr>
              <w:t>d. Money skills – supporting disadvantaged people to make financial</w:t>
            </w:r>
          </w:p>
          <w:p w:rsidR="00BB1942" w:rsidRPr="00BB1942" w:rsidRDefault="00BB1942" w:rsidP="00BB1942">
            <w:pPr>
              <w:rPr>
                <w:rFonts w:cs="Arial"/>
                <w:sz w:val="22"/>
                <w:szCs w:val="22"/>
              </w:rPr>
            </w:pPr>
            <w:r w:rsidRPr="00BB1942">
              <w:rPr>
                <w:rFonts w:cs="Arial"/>
                <w:sz w:val="22"/>
                <w:szCs w:val="22"/>
              </w:rPr>
              <w:t>decisions</w:t>
            </w:r>
          </w:p>
          <w:p w:rsidR="00BB1942" w:rsidRDefault="00BB1942" w:rsidP="00BB1942">
            <w:pPr>
              <w:rPr>
                <w:rFonts w:cs="Arial"/>
                <w:sz w:val="22"/>
                <w:szCs w:val="22"/>
              </w:rPr>
            </w:pPr>
            <w:r w:rsidRPr="00BB1942">
              <w:rPr>
                <w:rFonts w:cs="Arial"/>
                <w:sz w:val="22"/>
                <w:szCs w:val="22"/>
              </w:rPr>
              <w:t>e. Organising events and workshops for local businesses to help them</w:t>
            </w:r>
            <w:r>
              <w:rPr>
                <w:rFonts w:cs="Arial"/>
                <w:sz w:val="22"/>
                <w:szCs w:val="22"/>
              </w:rPr>
              <w:t xml:space="preserve"> </w:t>
            </w:r>
            <w:r w:rsidRPr="00BB1942">
              <w:rPr>
                <w:rFonts w:cs="Arial"/>
                <w:sz w:val="22"/>
                <w:szCs w:val="22"/>
              </w:rPr>
              <w:t>market their products and service and to educate them in such areas</w:t>
            </w:r>
            <w:r>
              <w:rPr>
                <w:rFonts w:cs="Arial"/>
                <w:sz w:val="22"/>
                <w:szCs w:val="22"/>
              </w:rPr>
              <w:t xml:space="preserve"> </w:t>
            </w:r>
            <w:r w:rsidRPr="00BB1942">
              <w:rPr>
                <w:rFonts w:cs="Arial"/>
                <w:sz w:val="22"/>
                <w:szCs w:val="22"/>
              </w:rPr>
              <w:t>as finance</w:t>
            </w:r>
            <w:r>
              <w:rPr>
                <w:rFonts w:cs="Arial"/>
                <w:sz w:val="22"/>
                <w:szCs w:val="22"/>
              </w:rPr>
              <w:t xml:space="preserve"> </w:t>
            </w:r>
          </w:p>
          <w:p w:rsidR="00BB1942" w:rsidRDefault="00BB1942" w:rsidP="00BB1942">
            <w:pPr>
              <w:rPr>
                <w:rFonts w:cs="Arial"/>
                <w:sz w:val="22"/>
                <w:szCs w:val="22"/>
              </w:rPr>
            </w:pPr>
          </w:p>
          <w:p w:rsidR="002C0C24" w:rsidRPr="00BB1942" w:rsidRDefault="00BB1942" w:rsidP="00BB1942">
            <w:pPr>
              <w:rPr>
                <w:rFonts w:cs="Arial"/>
                <w:sz w:val="22"/>
                <w:szCs w:val="22"/>
              </w:rPr>
            </w:pPr>
            <w:r w:rsidRPr="00BB1942">
              <w:rPr>
                <w:rFonts w:cs="Arial"/>
                <w:sz w:val="22"/>
                <w:szCs w:val="22"/>
              </w:rPr>
              <w:t>Pending the Bank taking over the Council’s banking contract in March, the Council</w:t>
            </w:r>
            <w:r>
              <w:rPr>
                <w:rFonts w:cs="Arial"/>
                <w:sz w:val="22"/>
                <w:szCs w:val="22"/>
              </w:rPr>
              <w:t xml:space="preserve"> </w:t>
            </w:r>
            <w:r w:rsidRPr="00BB1942">
              <w:rPr>
                <w:rFonts w:cs="Arial"/>
                <w:sz w:val="22"/>
                <w:szCs w:val="22"/>
              </w:rPr>
              <w:t xml:space="preserve">have already set up a meeting with the internal </w:t>
            </w:r>
            <w:r w:rsidRPr="00BB1942">
              <w:rPr>
                <w:rFonts w:cs="Arial"/>
                <w:sz w:val="22"/>
                <w:szCs w:val="22"/>
              </w:rPr>
              <w:lastRenderedPageBreak/>
              <w:t>Welfare Reform Group to examine</w:t>
            </w:r>
            <w:r>
              <w:rPr>
                <w:rFonts w:cs="Arial"/>
                <w:sz w:val="22"/>
                <w:szCs w:val="22"/>
              </w:rPr>
              <w:t xml:space="preserve"> </w:t>
            </w:r>
            <w:r w:rsidRPr="00BB1942">
              <w:rPr>
                <w:rFonts w:cs="Arial"/>
                <w:sz w:val="22"/>
                <w:szCs w:val="22"/>
              </w:rPr>
              <w:t>ways in which the bank can help our customers engaged with the Direct Payment</w:t>
            </w:r>
            <w:r>
              <w:rPr>
                <w:rFonts w:cs="Arial"/>
                <w:sz w:val="22"/>
                <w:szCs w:val="22"/>
              </w:rPr>
              <w:t xml:space="preserve"> </w:t>
            </w:r>
            <w:r w:rsidRPr="00BB1942">
              <w:rPr>
                <w:rFonts w:cs="Arial"/>
                <w:sz w:val="22"/>
                <w:szCs w:val="22"/>
              </w:rPr>
              <w:t>Project on managing basic bank accounts. Over the coming months we will engage</w:t>
            </w:r>
            <w:r>
              <w:rPr>
                <w:rFonts w:cs="Arial"/>
                <w:sz w:val="22"/>
                <w:szCs w:val="22"/>
              </w:rPr>
              <w:t xml:space="preserve"> </w:t>
            </w:r>
            <w:r w:rsidRPr="00BB1942">
              <w:rPr>
                <w:rFonts w:cs="Arial"/>
                <w:sz w:val="22"/>
                <w:szCs w:val="22"/>
              </w:rPr>
              <w:t>with the bank on other areas that we believe may be of assistance directly or</w:t>
            </w:r>
            <w:r>
              <w:rPr>
                <w:rFonts w:cs="Arial"/>
                <w:sz w:val="22"/>
                <w:szCs w:val="22"/>
              </w:rPr>
              <w:t xml:space="preserve"> </w:t>
            </w:r>
            <w:r w:rsidRPr="00BB1942">
              <w:rPr>
                <w:rFonts w:cs="Arial"/>
                <w:sz w:val="22"/>
                <w:szCs w:val="22"/>
              </w:rPr>
              <w:t>indirectly to the Council.</w:t>
            </w:r>
          </w:p>
        </w:tc>
        <w:tc>
          <w:tcPr>
            <w:tcW w:w="1701" w:type="dxa"/>
          </w:tcPr>
          <w:p w:rsidR="002C0C24" w:rsidRPr="00B44C14" w:rsidRDefault="002C0C24" w:rsidP="00316382">
            <w:pPr>
              <w:rPr>
                <w:rFonts w:cs="Arial"/>
                <w:sz w:val="22"/>
                <w:szCs w:val="22"/>
              </w:rPr>
            </w:pPr>
            <w:r>
              <w:rPr>
                <w:rFonts w:cs="Arial"/>
                <w:sz w:val="22"/>
                <w:szCs w:val="22"/>
              </w:rPr>
              <w:lastRenderedPageBreak/>
              <w:t>Cllr Turner</w:t>
            </w:r>
          </w:p>
        </w:tc>
        <w:tc>
          <w:tcPr>
            <w:tcW w:w="1275" w:type="dxa"/>
          </w:tcPr>
          <w:p w:rsidR="002C0C24" w:rsidRDefault="002C0C24"/>
        </w:tc>
      </w:tr>
      <w:tr w:rsidR="002C0C24" w:rsidRPr="00B44C14" w:rsidTr="00EE650A">
        <w:tc>
          <w:tcPr>
            <w:tcW w:w="5245" w:type="dxa"/>
            <w:shd w:val="clear" w:color="auto" w:fill="auto"/>
          </w:tcPr>
          <w:p w:rsidR="002C0C24" w:rsidRPr="00B44C14" w:rsidRDefault="002C0C24" w:rsidP="00BB1942">
            <w:pPr>
              <w:rPr>
                <w:rFonts w:cs="Arial"/>
                <w:sz w:val="22"/>
                <w:szCs w:val="22"/>
              </w:rPr>
            </w:pPr>
            <w:r>
              <w:rPr>
                <w:rFonts w:cs="Arial"/>
                <w:sz w:val="22"/>
                <w:szCs w:val="22"/>
              </w:rPr>
              <w:lastRenderedPageBreak/>
              <w:t xml:space="preserve">3. </w:t>
            </w:r>
            <w:r w:rsidRPr="008C0949">
              <w:rPr>
                <w:rFonts w:cs="Arial"/>
                <w:sz w:val="22"/>
                <w:szCs w:val="22"/>
              </w:rPr>
              <w:t xml:space="preserve">That the City Council continues to monitor which banks other former Co-op customers are switching to, and whether ‘challenger banks’ begin taking on local authority customers.  </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820" w:type="dxa"/>
            <w:shd w:val="clear" w:color="auto" w:fill="auto"/>
          </w:tcPr>
          <w:p w:rsidR="00BB1942" w:rsidRPr="00BB1942" w:rsidRDefault="00BB1942" w:rsidP="00BB1942">
            <w:pPr>
              <w:rPr>
                <w:rFonts w:cs="Arial"/>
                <w:sz w:val="22"/>
                <w:szCs w:val="22"/>
              </w:rPr>
            </w:pPr>
            <w:r w:rsidRPr="00BB1942">
              <w:rPr>
                <w:rFonts w:cs="Arial"/>
                <w:sz w:val="22"/>
                <w:szCs w:val="22"/>
              </w:rPr>
              <w:t>The City Council will continue to monitor which banks other former Co-op customers</w:t>
            </w:r>
            <w:r>
              <w:rPr>
                <w:rFonts w:cs="Arial"/>
                <w:sz w:val="22"/>
                <w:szCs w:val="22"/>
              </w:rPr>
              <w:t xml:space="preserve"> </w:t>
            </w:r>
            <w:r w:rsidRPr="00BB1942">
              <w:rPr>
                <w:rFonts w:cs="Arial"/>
                <w:sz w:val="22"/>
                <w:szCs w:val="22"/>
              </w:rPr>
              <w:t>are switching to, and whether ‘challenger banks’ begin taking on local authority</w:t>
            </w:r>
            <w:r>
              <w:rPr>
                <w:rFonts w:cs="Arial"/>
                <w:sz w:val="22"/>
                <w:szCs w:val="22"/>
              </w:rPr>
              <w:t xml:space="preserve"> </w:t>
            </w:r>
            <w:r w:rsidRPr="00BB1942">
              <w:rPr>
                <w:rFonts w:cs="Arial"/>
                <w:sz w:val="22"/>
                <w:szCs w:val="22"/>
              </w:rPr>
              <w:t>customers.</w:t>
            </w:r>
            <w:r>
              <w:rPr>
                <w:rFonts w:cs="Arial"/>
                <w:sz w:val="22"/>
                <w:szCs w:val="22"/>
              </w:rPr>
              <w:t xml:space="preserve"> </w:t>
            </w:r>
            <w:r w:rsidRPr="00BB1942">
              <w:rPr>
                <w:rFonts w:cs="Arial"/>
                <w:sz w:val="22"/>
                <w:szCs w:val="22"/>
              </w:rPr>
              <w:t>The Council obtains some information from trade press from time to time on the</w:t>
            </w:r>
            <w:r>
              <w:rPr>
                <w:rFonts w:cs="Arial"/>
                <w:sz w:val="22"/>
                <w:szCs w:val="22"/>
              </w:rPr>
              <w:t xml:space="preserve"> </w:t>
            </w:r>
            <w:r w:rsidRPr="00BB1942">
              <w:rPr>
                <w:rFonts w:cs="Arial"/>
                <w:sz w:val="22"/>
                <w:szCs w:val="22"/>
              </w:rPr>
              <w:t>movement of local authorities from the Co-Op and the activities of challenger banks.</w:t>
            </w:r>
            <w:r>
              <w:rPr>
                <w:rFonts w:cs="Arial"/>
                <w:sz w:val="22"/>
                <w:szCs w:val="22"/>
              </w:rPr>
              <w:t xml:space="preserve"> </w:t>
            </w:r>
            <w:r w:rsidRPr="00BB1942">
              <w:rPr>
                <w:rFonts w:cs="Arial"/>
                <w:sz w:val="22"/>
                <w:szCs w:val="22"/>
              </w:rPr>
              <w:t>Information to date suggests that most ex local authority Co-Op customers are</w:t>
            </w:r>
            <w:r>
              <w:rPr>
                <w:rFonts w:cs="Arial"/>
                <w:sz w:val="22"/>
                <w:szCs w:val="22"/>
              </w:rPr>
              <w:t xml:space="preserve"> </w:t>
            </w:r>
            <w:r w:rsidRPr="00BB1942">
              <w:rPr>
                <w:rFonts w:cs="Arial"/>
                <w:sz w:val="22"/>
                <w:szCs w:val="22"/>
              </w:rPr>
              <w:t>moving to either Barclays or Nat West. Whilst Challenger Banks have submitted a</w:t>
            </w:r>
          </w:p>
          <w:p w:rsidR="00BB1942" w:rsidRPr="00BB1942" w:rsidRDefault="00BB1942" w:rsidP="00BB1942">
            <w:pPr>
              <w:rPr>
                <w:rFonts w:cs="Arial"/>
                <w:sz w:val="22"/>
                <w:szCs w:val="22"/>
              </w:rPr>
            </w:pPr>
            <w:r w:rsidRPr="00BB1942">
              <w:rPr>
                <w:rFonts w:cs="Arial"/>
                <w:sz w:val="22"/>
                <w:szCs w:val="22"/>
              </w:rPr>
              <w:t>small number of bids for local authority contracts their activities to date have been</w:t>
            </w:r>
          </w:p>
          <w:p w:rsidR="00BB1942" w:rsidRPr="00BB1942" w:rsidRDefault="00BB1942" w:rsidP="00BB1942">
            <w:pPr>
              <w:rPr>
                <w:rFonts w:cs="Arial"/>
                <w:sz w:val="22"/>
                <w:szCs w:val="22"/>
              </w:rPr>
            </w:pPr>
            <w:r w:rsidRPr="00BB1942">
              <w:rPr>
                <w:rFonts w:cs="Arial"/>
                <w:sz w:val="22"/>
                <w:szCs w:val="22"/>
              </w:rPr>
              <w:t>limited and represent a ‘ dipping of a toe in the water’, although clearly over time this</w:t>
            </w:r>
          </w:p>
          <w:p w:rsidR="002C0C24" w:rsidRPr="00BB1942" w:rsidRDefault="00BB1942" w:rsidP="00BB1942">
            <w:pPr>
              <w:rPr>
                <w:rFonts w:cs="Arial"/>
                <w:sz w:val="22"/>
                <w:szCs w:val="22"/>
              </w:rPr>
            </w:pPr>
            <w:proofErr w:type="gramStart"/>
            <w:r w:rsidRPr="00BB1942">
              <w:rPr>
                <w:rFonts w:cs="Arial"/>
                <w:sz w:val="22"/>
                <w:szCs w:val="22"/>
              </w:rPr>
              <w:t>has</w:t>
            </w:r>
            <w:proofErr w:type="gramEnd"/>
            <w:r w:rsidRPr="00BB1942">
              <w:rPr>
                <w:rFonts w:cs="Arial"/>
                <w:sz w:val="22"/>
                <w:szCs w:val="22"/>
              </w:rPr>
              <w:t xml:space="preserve"> the potential to change.</w:t>
            </w:r>
          </w:p>
        </w:tc>
        <w:tc>
          <w:tcPr>
            <w:tcW w:w="1701" w:type="dxa"/>
          </w:tcPr>
          <w:p w:rsidR="002C0C24" w:rsidRPr="00B44C14" w:rsidRDefault="002C0C24" w:rsidP="00316382">
            <w:pPr>
              <w:rPr>
                <w:rFonts w:cs="Arial"/>
                <w:sz w:val="22"/>
                <w:szCs w:val="22"/>
              </w:rPr>
            </w:pPr>
            <w:r>
              <w:rPr>
                <w:rFonts w:cs="Arial"/>
                <w:sz w:val="22"/>
                <w:szCs w:val="22"/>
              </w:rPr>
              <w:t>Cllr Turner</w:t>
            </w:r>
          </w:p>
        </w:tc>
        <w:tc>
          <w:tcPr>
            <w:tcW w:w="1275" w:type="dxa"/>
          </w:tcPr>
          <w:p w:rsidR="002C0C24" w:rsidRDefault="002C0C24"/>
        </w:tc>
      </w:tr>
      <w:tr w:rsidR="00B15A23"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15A23" w:rsidRPr="00B44C14" w:rsidRDefault="00807DCE" w:rsidP="00B15A23">
            <w:pPr>
              <w:rPr>
                <w:rFonts w:cs="Arial"/>
                <w:b/>
                <w:bCs/>
                <w:sz w:val="22"/>
                <w:szCs w:val="22"/>
              </w:rPr>
            </w:pPr>
            <w:r>
              <w:rPr>
                <w:rFonts w:cs="Arial"/>
                <w:b/>
                <w:bCs/>
                <w:sz w:val="22"/>
                <w:szCs w:val="22"/>
              </w:rPr>
              <w:t>Older Person’s Housing Review – Housing Panel 10 December</w:t>
            </w:r>
          </w:p>
        </w:tc>
      </w:tr>
      <w:tr w:rsidR="00B15A23" w:rsidRPr="00B44C14" w:rsidTr="00EE650A">
        <w:tc>
          <w:tcPr>
            <w:tcW w:w="5245" w:type="dxa"/>
            <w:shd w:val="clear" w:color="auto" w:fill="auto"/>
            <w:vAlign w:val="center"/>
          </w:tcPr>
          <w:p w:rsidR="00B15A23" w:rsidRPr="00B44C14" w:rsidRDefault="00B15A23"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B15A23" w:rsidRPr="00B44C14" w:rsidRDefault="00B15A23" w:rsidP="00316382">
            <w:pPr>
              <w:rPr>
                <w:rFonts w:cs="Arial"/>
                <w:b/>
                <w:sz w:val="22"/>
                <w:szCs w:val="22"/>
              </w:rPr>
            </w:pPr>
            <w:r w:rsidRPr="00B44C14">
              <w:rPr>
                <w:rFonts w:cs="Arial"/>
                <w:b/>
                <w:sz w:val="22"/>
                <w:szCs w:val="22"/>
              </w:rPr>
              <w:t>Agreed Y/N</w:t>
            </w:r>
          </w:p>
        </w:tc>
        <w:tc>
          <w:tcPr>
            <w:tcW w:w="4820" w:type="dxa"/>
            <w:shd w:val="clear" w:color="auto" w:fill="auto"/>
            <w:vAlign w:val="center"/>
          </w:tcPr>
          <w:p w:rsidR="00B15A23" w:rsidRPr="00B44C14" w:rsidRDefault="00B15A23" w:rsidP="00316382">
            <w:pPr>
              <w:rPr>
                <w:rFonts w:cs="Arial"/>
                <w:b/>
                <w:sz w:val="22"/>
                <w:szCs w:val="22"/>
              </w:rPr>
            </w:pPr>
            <w:r w:rsidRPr="00B44C14">
              <w:rPr>
                <w:rFonts w:cs="Arial"/>
                <w:b/>
                <w:sz w:val="22"/>
                <w:szCs w:val="22"/>
              </w:rPr>
              <w:t>Executive response</w:t>
            </w:r>
          </w:p>
        </w:tc>
        <w:tc>
          <w:tcPr>
            <w:tcW w:w="1701" w:type="dxa"/>
            <w:vAlign w:val="center"/>
          </w:tcPr>
          <w:p w:rsidR="00B15A23" w:rsidRPr="00B44C14" w:rsidRDefault="00B15A23" w:rsidP="00316382">
            <w:pPr>
              <w:rPr>
                <w:rFonts w:cs="Arial"/>
                <w:b/>
                <w:sz w:val="22"/>
                <w:szCs w:val="22"/>
              </w:rPr>
            </w:pPr>
            <w:r w:rsidRPr="00B44C14">
              <w:rPr>
                <w:rFonts w:cs="Arial"/>
                <w:b/>
                <w:sz w:val="22"/>
                <w:szCs w:val="22"/>
              </w:rPr>
              <w:t xml:space="preserve">Lead Member &amp; Officer </w:t>
            </w:r>
          </w:p>
        </w:tc>
        <w:tc>
          <w:tcPr>
            <w:tcW w:w="1275" w:type="dxa"/>
            <w:vAlign w:val="center"/>
          </w:tcPr>
          <w:p w:rsidR="00B15A23" w:rsidRPr="00B44C14" w:rsidRDefault="00B15A23" w:rsidP="00316382">
            <w:pPr>
              <w:rPr>
                <w:rFonts w:cs="Arial"/>
                <w:b/>
                <w:sz w:val="22"/>
                <w:szCs w:val="22"/>
              </w:rPr>
            </w:pPr>
            <w:r w:rsidRPr="00B44C14">
              <w:rPr>
                <w:rFonts w:cs="Arial"/>
                <w:b/>
                <w:sz w:val="22"/>
                <w:szCs w:val="22"/>
              </w:rPr>
              <w:t>Implemented Y/N / due date</w:t>
            </w:r>
          </w:p>
        </w:tc>
      </w:tr>
      <w:tr w:rsidR="001527FF" w:rsidRPr="00B44C14" w:rsidTr="00EE650A">
        <w:tc>
          <w:tcPr>
            <w:tcW w:w="5245" w:type="dxa"/>
            <w:shd w:val="clear" w:color="auto" w:fill="auto"/>
            <w:vAlign w:val="center"/>
          </w:tcPr>
          <w:p w:rsidR="001527FF" w:rsidRPr="00B44C14" w:rsidRDefault="001527FF" w:rsidP="00316382">
            <w:pPr>
              <w:rPr>
                <w:rFonts w:cs="Arial"/>
                <w:sz w:val="22"/>
                <w:szCs w:val="22"/>
              </w:rPr>
            </w:pPr>
            <w:r w:rsidRPr="00B44C14">
              <w:rPr>
                <w:rFonts w:cs="Arial"/>
                <w:sz w:val="22"/>
                <w:szCs w:val="22"/>
              </w:rPr>
              <w:t>1. That residents are surveyed face to face and that the City Council seeks to involve Oxford Brookes University in conducting these surveys.  Tenant volunteers should also be closely consulted throughout the review.</w:t>
            </w:r>
          </w:p>
        </w:tc>
        <w:tc>
          <w:tcPr>
            <w:tcW w:w="992" w:type="dxa"/>
            <w:shd w:val="clear" w:color="auto" w:fill="auto"/>
          </w:tcPr>
          <w:p w:rsidR="001527FF" w:rsidRPr="00B44C14" w:rsidRDefault="001527FF" w:rsidP="00316382">
            <w:pPr>
              <w:rPr>
                <w:rFonts w:cs="Arial"/>
                <w:sz w:val="22"/>
                <w:szCs w:val="22"/>
              </w:rPr>
            </w:pPr>
            <w:r>
              <w:rPr>
                <w:rFonts w:cs="Arial"/>
                <w:sz w:val="22"/>
                <w:szCs w:val="22"/>
              </w:rPr>
              <w:t>Y</w:t>
            </w:r>
          </w:p>
        </w:tc>
        <w:tc>
          <w:tcPr>
            <w:tcW w:w="4820" w:type="dxa"/>
            <w:vMerge w:val="restart"/>
            <w:shd w:val="clear" w:color="auto" w:fill="auto"/>
          </w:tcPr>
          <w:p w:rsidR="001527FF" w:rsidRPr="001527FF" w:rsidRDefault="001527FF" w:rsidP="001F088D">
            <w:pPr>
              <w:rPr>
                <w:rFonts w:cs="Arial"/>
                <w:sz w:val="22"/>
                <w:szCs w:val="22"/>
              </w:rPr>
            </w:pPr>
            <w:r w:rsidRPr="001527FF">
              <w:rPr>
                <w:rFonts w:cs="Arial"/>
                <w:sz w:val="22"/>
                <w:szCs w:val="22"/>
              </w:rPr>
              <w:t xml:space="preserve">The Head of Housing and Property explained that in general terms, the Board Member and he agreed the recommendations but give that the scrutiny was very recent they needed time to consider the detail and the cost implications. He welcomed the Housing Panel continuing to </w:t>
            </w:r>
            <w:r w:rsidRPr="001527FF">
              <w:rPr>
                <w:rFonts w:cs="Arial"/>
                <w:sz w:val="22"/>
                <w:szCs w:val="22"/>
              </w:rPr>
              <w:lastRenderedPageBreak/>
              <w:t>review the work.</w:t>
            </w:r>
          </w:p>
        </w:tc>
        <w:tc>
          <w:tcPr>
            <w:tcW w:w="1701" w:type="dxa"/>
          </w:tcPr>
          <w:p w:rsidR="001527FF" w:rsidRPr="00B44C14" w:rsidRDefault="001527FF" w:rsidP="00C711B7">
            <w:pPr>
              <w:rPr>
                <w:rFonts w:cs="Arial"/>
                <w:sz w:val="22"/>
                <w:szCs w:val="22"/>
              </w:rPr>
            </w:pPr>
            <w:r w:rsidRPr="00B44C14">
              <w:rPr>
                <w:rFonts w:cs="Arial"/>
                <w:sz w:val="22"/>
                <w:szCs w:val="22"/>
              </w:rPr>
              <w:lastRenderedPageBreak/>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275" w:type="dxa"/>
          </w:tcPr>
          <w:p w:rsidR="001527FF" w:rsidRPr="008C0949" w:rsidRDefault="00114FF4" w:rsidP="008C0949">
            <w:pPr>
              <w:rPr>
                <w:rFonts w:cs="Arial"/>
                <w:sz w:val="22"/>
                <w:szCs w:val="22"/>
              </w:rPr>
            </w:pPr>
            <w:r>
              <w:rPr>
                <w:rFonts w:cs="Arial"/>
                <w:sz w:val="22"/>
                <w:szCs w:val="22"/>
              </w:rPr>
              <w:t>Mar 2016</w:t>
            </w:r>
          </w:p>
        </w:tc>
      </w:tr>
      <w:tr w:rsidR="001527FF" w:rsidRPr="00B44C14" w:rsidTr="00EE650A">
        <w:tc>
          <w:tcPr>
            <w:tcW w:w="5245" w:type="dxa"/>
            <w:shd w:val="clear" w:color="auto" w:fill="auto"/>
            <w:vAlign w:val="center"/>
          </w:tcPr>
          <w:p w:rsidR="001527FF" w:rsidRPr="00B44C14" w:rsidRDefault="001527FF" w:rsidP="00316382">
            <w:pPr>
              <w:rPr>
                <w:rFonts w:cs="Arial"/>
                <w:sz w:val="22"/>
                <w:szCs w:val="22"/>
              </w:rPr>
            </w:pPr>
            <w:r w:rsidRPr="00B44C14">
              <w:rPr>
                <w:rFonts w:cs="Arial"/>
                <w:sz w:val="22"/>
                <w:szCs w:val="22"/>
              </w:rPr>
              <w:t xml:space="preserve">2. That the scope of this review is expanded to </w:t>
            </w:r>
            <w:r w:rsidRPr="00B44C14">
              <w:rPr>
                <w:rFonts w:cs="Arial"/>
                <w:sz w:val="22"/>
                <w:szCs w:val="22"/>
              </w:rPr>
              <w:lastRenderedPageBreak/>
              <w:t>include older persons living in their own homes and to those in privately rented housing.  Consideration should be given to how best to do this, perhaps using sample surveys.</w:t>
            </w:r>
          </w:p>
        </w:tc>
        <w:tc>
          <w:tcPr>
            <w:tcW w:w="992" w:type="dxa"/>
            <w:shd w:val="clear" w:color="auto" w:fill="auto"/>
          </w:tcPr>
          <w:p w:rsidR="001527FF" w:rsidRPr="00B44C14" w:rsidRDefault="001527FF" w:rsidP="00316382">
            <w:pPr>
              <w:rPr>
                <w:rFonts w:cs="Arial"/>
                <w:sz w:val="22"/>
                <w:szCs w:val="22"/>
              </w:rPr>
            </w:pPr>
            <w:r>
              <w:rPr>
                <w:rFonts w:cs="Arial"/>
                <w:sz w:val="22"/>
                <w:szCs w:val="22"/>
              </w:rPr>
              <w:lastRenderedPageBreak/>
              <w:t>Y</w:t>
            </w:r>
          </w:p>
        </w:tc>
        <w:tc>
          <w:tcPr>
            <w:tcW w:w="4820" w:type="dxa"/>
            <w:vMerge/>
            <w:shd w:val="clear" w:color="auto" w:fill="auto"/>
          </w:tcPr>
          <w:p w:rsidR="001527FF" w:rsidRPr="001F088D" w:rsidRDefault="001527FF" w:rsidP="001F088D">
            <w:pPr>
              <w:rPr>
                <w:rFonts w:cs="Arial"/>
                <w:i/>
                <w:sz w:val="22"/>
                <w:szCs w:val="22"/>
              </w:rPr>
            </w:pPr>
          </w:p>
        </w:tc>
        <w:tc>
          <w:tcPr>
            <w:tcW w:w="1701" w:type="dxa"/>
          </w:tcPr>
          <w:p w:rsidR="001527FF" w:rsidRPr="00B44C14" w:rsidRDefault="001527FF"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w:t>
            </w:r>
            <w:r w:rsidRPr="00B44C14">
              <w:rPr>
                <w:rFonts w:cs="Arial"/>
                <w:sz w:val="22"/>
                <w:szCs w:val="22"/>
              </w:rPr>
              <w:lastRenderedPageBreak/>
              <w:t>Allison Dalton</w:t>
            </w:r>
          </w:p>
        </w:tc>
        <w:tc>
          <w:tcPr>
            <w:tcW w:w="1275" w:type="dxa"/>
          </w:tcPr>
          <w:p w:rsidR="001527FF" w:rsidRPr="008C0949" w:rsidRDefault="00114FF4" w:rsidP="008C0949">
            <w:pPr>
              <w:rPr>
                <w:rFonts w:cs="Arial"/>
                <w:sz w:val="22"/>
                <w:szCs w:val="22"/>
              </w:rPr>
            </w:pPr>
            <w:r>
              <w:rPr>
                <w:rFonts w:cs="Arial"/>
                <w:sz w:val="22"/>
                <w:szCs w:val="22"/>
              </w:rPr>
              <w:lastRenderedPageBreak/>
              <w:t>Mar 2016</w:t>
            </w:r>
          </w:p>
        </w:tc>
      </w:tr>
      <w:tr w:rsidR="001527FF" w:rsidRPr="00B44C14" w:rsidTr="00EE650A">
        <w:tc>
          <w:tcPr>
            <w:tcW w:w="5245" w:type="dxa"/>
            <w:shd w:val="clear" w:color="auto" w:fill="auto"/>
            <w:vAlign w:val="center"/>
          </w:tcPr>
          <w:p w:rsidR="001527FF" w:rsidRPr="00B44C14" w:rsidRDefault="001527FF" w:rsidP="00316382">
            <w:pPr>
              <w:rPr>
                <w:rFonts w:cs="Arial"/>
                <w:sz w:val="22"/>
                <w:szCs w:val="22"/>
              </w:rPr>
            </w:pPr>
            <w:r w:rsidRPr="00B44C14">
              <w:rPr>
                <w:rFonts w:cs="Arial"/>
                <w:sz w:val="22"/>
                <w:szCs w:val="22"/>
              </w:rPr>
              <w:lastRenderedPageBreak/>
              <w:t>3. That the timescale of the review is extended by 6 months (to September 2015).  If required, additional resources should be allocated in the current budget round to enable this.</w:t>
            </w:r>
          </w:p>
        </w:tc>
        <w:tc>
          <w:tcPr>
            <w:tcW w:w="992" w:type="dxa"/>
            <w:shd w:val="clear" w:color="auto" w:fill="auto"/>
          </w:tcPr>
          <w:p w:rsidR="001527FF" w:rsidRPr="00B44C14" w:rsidRDefault="001527FF" w:rsidP="00316382">
            <w:pPr>
              <w:rPr>
                <w:rFonts w:cs="Arial"/>
                <w:sz w:val="22"/>
                <w:szCs w:val="22"/>
              </w:rPr>
            </w:pPr>
            <w:r>
              <w:rPr>
                <w:rFonts w:cs="Arial"/>
                <w:sz w:val="22"/>
                <w:szCs w:val="22"/>
              </w:rPr>
              <w:t>Y</w:t>
            </w:r>
          </w:p>
        </w:tc>
        <w:tc>
          <w:tcPr>
            <w:tcW w:w="4820" w:type="dxa"/>
            <w:vMerge/>
            <w:shd w:val="clear" w:color="auto" w:fill="auto"/>
          </w:tcPr>
          <w:p w:rsidR="001527FF" w:rsidRPr="001F088D" w:rsidRDefault="001527FF" w:rsidP="001F088D">
            <w:pPr>
              <w:rPr>
                <w:rFonts w:cs="Arial"/>
                <w:i/>
                <w:sz w:val="22"/>
                <w:szCs w:val="22"/>
              </w:rPr>
            </w:pPr>
          </w:p>
        </w:tc>
        <w:tc>
          <w:tcPr>
            <w:tcW w:w="1701" w:type="dxa"/>
          </w:tcPr>
          <w:p w:rsidR="001527FF" w:rsidRPr="00B44C14" w:rsidRDefault="001527FF"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275" w:type="dxa"/>
          </w:tcPr>
          <w:p w:rsidR="001527FF" w:rsidRPr="008C0949" w:rsidRDefault="00114FF4" w:rsidP="008C0949">
            <w:pPr>
              <w:rPr>
                <w:rFonts w:cs="Arial"/>
                <w:sz w:val="22"/>
                <w:szCs w:val="22"/>
              </w:rPr>
            </w:pPr>
            <w:r>
              <w:rPr>
                <w:rFonts w:cs="Arial"/>
                <w:sz w:val="22"/>
                <w:szCs w:val="22"/>
              </w:rPr>
              <w:t>Mar 2016</w:t>
            </w:r>
          </w:p>
        </w:tc>
      </w:tr>
      <w:tr w:rsidR="001527FF" w:rsidRPr="00B44C14" w:rsidTr="00EE650A">
        <w:tc>
          <w:tcPr>
            <w:tcW w:w="5245" w:type="dxa"/>
            <w:shd w:val="clear" w:color="auto" w:fill="auto"/>
            <w:vAlign w:val="center"/>
          </w:tcPr>
          <w:p w:rsidR="001527FF" w:rsidRPr="00B44C14" w:rsidRDefault="001527FF" w:rsidP="00316382">
            <w:pPr>
              <w:rPr>
                <w:rFonts w:cs="Arial"/>
                <w:sz w:val="22"/>
                <w:szCs w:val="22"/>
              </w:rPr>
            </w:pPr>
            <w:r w:rsidRPr="00B44C14">
              <w:rPr>
                <w:rFonts w:cs="Arial"/>
                <w:sz w:val="22"/>
                <w:szCs w:val="22"/>
              </w:rPr>
              <w:t>4. That the review is focused on understanding the future requirements of people at the younger end of the ‘Older Persons’ category, so that the City Council can plan to best meet their future needs.</w:t>
            </w:r>
          </w:p>
        </w:tc>
        <w:tc>
          <w:tcPr>
            <w:tcW w:w="992" w:type="dxa"/>
            <w:shd w:val="clear" w:color="auto" w:fill="auto"/>
          </w:tcPr>
          <w:p w:rsidR="001527FF" w:rsidRPr="00B44C14" w:rsidRDefault="001527FF" w:rsidP="00316382">
            <w:pPr>
              <w:rPr>
                <w:rFonts w:cs="Arial"/>
                <w:sz w:val="22"/>
                <w:szCs w:val="22"/>
              </w:rPr>
            </w:pPr>
            <w:r>
              <w:rPr>
                <w:rFonts w:cs="Arial"/>
                <w:sz w:val="22"/>
                <w:szCs w:val="22"/>
              </w:rPr>
              <w:t>Y</w:t>
            </w:r>
          </w:p>
        </w:tc>
        <w:tc>
          <w:tcPr>
            <w:tcW w:w="4820" w:type="dxa"/>
            <w:vMerge/>
            <w:shd w:val="clear" w:color="auto" w:fill="auto"/>
          </w:tcPr>
          <w:p w:rsidR="001527FF" w:rsidRPr="001F088D" w:rsidRDefault="001527FF" w:rsidP="001F088D">
            <w:pPr>
              <w:rPr>
                <w:rFonts w:cs="Arial"/>
                <w:i/>
                <w:sz w:val="22"/>
                <w:szCs w:val="22"/>
              </w:rPr>
            </w:pPr>
          </w:p>
        </w:tc>
        <w:tc>
          <w:tcPr>
            <w:tcW w:w="1701" w:type="dxa"/>
          </w:tcPr>
          <w:p w:rsidR="001527FF" w:rsidRPr="00B44C14" w:rsidRDefault="001527FF"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275" w:type="dxa"/>
          </w:tcPr>
          <w:p w:rsidR="001527FF" w:rsidRPr="008C0949" w:rsidRDefault="00114FF4" w:rsidP="008C0949">
            <w:pPr>
              <w:rPr>
                <w:rFonts w:cs="Arial"/>
                <w:sz w:val="22"/>
                <w:szCs w:val="22"/>
              </w:rPr>
            </w:pPr>
            <w:r>
              <w:rPr>
                <w:rFonts w:cs="Arial"/>
                <w:sz w:val="22"/>
                <w:szCs w:val="22"/>
              </w:rPr>
              <w:t>Mar 2016</w:t>
            </w:r>
          </w:p>
        </w:tc>
      </w:tr>
      <w:tr w:rsidR="001527FF" w:rsidRPr="00B44C14" w:rsidTr="00EE650A">
        <w:tc>
          <w:tcPr>
            <w:tcW w:w="5245" w:type="dxa"/>
            <w:shd w:val="clear" w:color="auto" w:fill="auto"/>
            <w:vAlign w:val="center"/>
          </w:tcPr>
          <w:p w:rsidR="001527FF" w:rsidRPr="00B44C14" w:rsidRDefault="001527FF" w:rsidP="00316382">
            <w:pPr>
              <w:rPr>
                <w:rFonts w:cs="Arial"/>
                <w:sz w:val="22"/>
                <w:szCs w:val="22"/>
              </w:rPr>
            </w:pPr>
            <w:r w:rsidRPr="00B44C14">
              <w:rPr>
                <w:rFonts w:cs="Arial"/>
                <w:sz w:val="22"/>
                <w:szCs w:val="22"/>
              </w:rPr>
              <w:t>5. That the Board Member prioritises the creation of new social housing for single older people if the review provides evidence that this could reduce under-occupancy or meet the current or future requirements of older tenants.</w:t>
            </w:r>
          </w:p>
        </w:tc>
        <w:tc>
          <w:tcPr>
            <w:tcW w:w="992" w:type="dxa"/>
            <w:shd w:val="clear" w:color="auto" w:fill="auto"/>
          </w:tcPr>
          <w:p w:rsidR="001527FF" w:rsidRPr="00B44C14" w:rsidRDefault="001527FF" w:rsidP="00316382">
            <w:pPr>
              <w:rPr>
                <w:rFonts w:cs="Arial"/>
                <w:sz w:val="22"/>
                <w:szCs w:val="22"/>
              </w:rPr>
            </w:pPr>
            <w:r>
              <w:rPr>
                <w:rFonts w:cs="Arial"/>
                <w:sz w:val="22"/>
                <w:szCs w:val="22"/>
              </w:rPr>
              <w:t>Y</w:t>
            </w:r>
          </w:p>
        </w:tc>
        <w:tc>
          <w:tcPr>
            <w:tcW w:w="4820" w:type="dxa"/>
            <w:vMerge/>
            <w:shd w:val="clear" w:color="auto" w:fill="auto"/>
          </w:tcPr>
          <w:p w:rsidR="001527FF" w:rsidRPr="001F088D" w:rsidRDefault="001527FF" w:rsidP="001F088D">
            <w:pPr>
              <w:rPr>
                <w:rFonts w:cs="Arial"/>
                <w:i/>
                <w:sz w:val="22"/>
                <w:szCs w:val="22"/>
              </w:rPr>
            </w:pPr>
          </w:p>
        </w:tc>
        <w:tc>
          <w:tcPr>
            <w:tcW w:w="1701" w:type="dxa"/>
          </w:tcPr>
          <w:p w:rsidR="001527FF" w:rsidRPr="00B44C14" w:rsidRDefault="001527FF"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275" w:type="dxa"/>
          </w:tcPr>
          <w:p w:rsidR="001527FF" w:rsidRPr="008C0949" w:rsidRDefault="00114FF4" w:rsidP="008C0949">
            <w:pPr>
              <w:rPr>
                <w:rFonts w:cs="Arial"/>
                <w:sz w:val="22"/>
                <w:szCs w:val="22"/>
              </w:rPr>
            </w:pPr>
            <w:r>
              <w:rPr>
                <w:rFonts w:cs="Arial"/>
                <w:sz w:val="22"/>
                <w:szCs w:val="22"/>
              </w:rPr>
              <w:t>Mar 2016</w:t>
            </w:r>
          </w:p>
        </w:tc>
      </w:tr>
      <w:tr w:rsidR="001527FF" w:rsidRPr="00B44C14" w:rsidTr="00EE650A">
        <w:trPr>
          <w:trHeight w:val="796"/>
        </w:trPr>
        <w:tc>
          <w:tcPr>
            <w:tcW w:w="5245" w:type="dxa"/>
            <w:shd w:val="clear" w:color="auto" w:fill="auto"/>
            <w:vAlign w:val="center"/>
          </w:tcPr>
          <w:p w:rsidR="001527FF" w:rsidRPr="00B44C14" w:rsidRDefault="001527FF" w:rsidP="00316382">
            <w:pPr>
              <w:rPr>
                <w:rFonts w:cs="Arial"/>
                <w:sz w:val="22"/>
                <w:szCs w:val="22"/>
              </w:rPr>
            </w:pPr>
            <w:r w:rsidRPr="00B44C14">
              <w:rPr>
                <w:rFonts w:cs="Arial"/>
                <w:sz w:val="22"/>
                <w:szCs w:val="22"/>
              </w:rPr>
              <w:t>6. That a Steering Group is established to oversee the review, and that this group includes at least two elected members.</w:t>
            </w:r>
          </w:p>
        </w:tc>
        <w:tc>
          <w:tcPr>
            <w:tcW w:w="992" w:type="dxa"/>
            <w:shd w:val="clear" w:color="auto" w:fill="auto"/>
          </w:tcPr>
          <w:p w:rsidR="001527FF" w:rsidRPr="00B44C14" w:rsidRDefault="001527FF" w:rsidP="00316382">
            <w:pPr>
              <w:rPr>
                <w:rFonts w:cs="Arial"/>
                <w:sz w:val="22"/>
                <w:szCs w:val="22"/>
              </w:rPr>
            </w:pPr>
            <w:r>
              <w:rPr>
                <w:rFonts w:cs="Arial"/>
                <w:sz w:val="22"/>
                <w:szCs w:val="22"/>
              </w:rPr>
              <w:t>Y</w:t>
            </w:r>
          </w:p>
        </w:tc>
        <w:tc>
          <w:tcPr>
            <w:tcW w:w="4820" w:type="dxa"/>
            <w:vMerge/>
            <w:shd w:val="clear" w:color="auto" w:fill="auto"/>
          </w:tcPr>
          <w:p w:rsidR="001527FF" w:rsidRPr="001F088D" w:rsidRDefault="001527FF" w:rsidP="001F088D">
            <w:pPr>
              <w:rPr>
                <w:rFonts w:cs="Arial"/>
                <w:i/>
                <w:sz w:val="22"/>
                <w:szCs w:val="22"/>
              </w:rPr>
            </w:pPr>
          </w:p>
        </w:tc>
        <w:tc>
          <w:tcPr>
            <w:tcW w:w="1701" w:type="dxa"/>
          </w:tcPr>
          <w:p w:rsidR="001527FF" w:rsidRPr="00B44C14" w:rsidRDefault="001527FF"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275" w:type="dxa"/>
          </w:tcPr>
          <w:p w:rsidR="001527FF" w:rsidRPr="008C0949" w:rsidRDefault="00114FF4" w:rsidP="008C0949">
            <w:pPr>
              <w:rPr>
                <w:rFonts w:cs="Arial"/>
                <w:sz w:val="22"/>
                <w:szCs w:val="22"/>
              </w:rPr>
            </w:pPr>
            <w:r>
              <w:rPr>
                <w:rFonts w:cs="Arial"/>
                <w:sz w:val="22"/>
                <w:szCs w:val="22"/>
              </w:rPr>
              <w:t>Mar 2016</w:t>
            </w:r>
          </w:p>
        </w:tc>
      </w:tr>
    </w:tbl>
    <w:p w:rsidR="00C650ED" w:rsidRPr="00B44C14" w:rsidRDefault="00C650ED" w:rsidP="00807DCE">
      <w:pPr>
        <w:rPr>
          <w:rFonts w:cs="Arial"/>
          <w:sz w:val="22"/>
          <w:szCs w:val="22"/>
        </w:rPr>
      </w:pPr>
    </w:p>
    <w:sectPr w:rsidR="00C650ED" w:rsidRPr="00B44C14" w:rsidSect="00625D14">
      <w:head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6E" w:rsidRDefault="00BB2E6E" w:rsidP="00B53CB3">
      <w:r>
        <w:separator/>
      </w:r>
    </w:p>
  </w:endnote>
  <w:endnote w:type="continuationSeparator" w:id="0">
    <w:p w:rsidR="00BB2E6E" w:rsidRDefault="00BB2E6E"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6E" w:rsidRDefault="00BB2E6E" w:rsidP="00B53CB3">
      <w:r>
        <w:separator/>
      </w:r>
    </w:p>
  </w:footnote>
  <w:footnote w:type="continuationSeparator" w:id="0">
    <w:p w:rsidR="00BB2E6E" w:rsidRDefault="00BB2E6E"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6E" w:rsidRDefault="00114FF4" w:rsidP="00B53CB3">
    <w:pPr>
      <w:pStyle w:val="Header"/>
      <w:jc w:val="right"/>
    </w:pPr>
    <w:r>
      <w:t>29 December</w:t>
    </w:r>
    <w:r w:rsidR="00BB2E6E">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B40"/>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1A70B5"/>
    <w:multiLevelType w:val="hybridMultilevel"/>
    <w:tmpl w:val="C092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79238A"/>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FB0A18"/>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46238E"/>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D7A680D"/>
    <w:multiLevelType w:val="hybridMultilevel"/>
    <w:tmpl w:val="00A4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202282"/>
    <w:multiLevelType w:val="hybridMultilevel"/>
    <w:tmpl w:val="7F80B9AA"/>
    <w:lvl w:ilvl="0" w:tplc="A21A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17"/>
  </w:num>
  <w:num w:numId="4">
    <w:abstractNumId w:val="18"/>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2"/>
  </w:num>
  <w:num w:numId="10">
    <w:abstractNumId w:val="7"/>
  </w:num>
  <w:num w:numId="11">
    <w:abstractNumId w:val="1"/>
  </w:num>
  <w:num w:numId="12">
    <w:abstractNumId w:val="16"/>
  </w:num>
  <w:num w:numId="13">
    <w:abstractNumId w:val="14"/>
  </w:num>
  <w:num w:numId="14">
    <w:abstractNumId w:val="15"/>
  </w:num>
  <w:num w:numId="15">
    <w:abstractNumId w:val="3"/>
  </w:num>
  <w:num w:numId="16">
    <w:abstractNumId w:val="11"/>
  </w:num>
  <w:num w:numId="17">
    <w:abstractNumId w:val="6"/>
  </w:num>
  <w:num w:numId="18">
    <w:abstractNumId w:val="5"/>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22316"/>
    <w:rsid w:val="000332BC"/>
    <w:rsid w:val="00042425"/>
    <w:rsid w:val="000907A4"/>
    <w:rsid w:val="000A4475"/>
    <w:rsid w:val="000A641D"/>
    <w:rsid w:val="000B4310"/>
    <w:rsid w:val="000C2351"/>
    <w:rsid w:val="000C7EFC"/>
    <w:rsid w:val="000F1206"/>
    <w:rsid w:val="000F3DFE"/>
    <w:rsid w:val="001035B3"/>
    <w:rsid w:val="00114FF4"/>
    <w:rsid w:val="001527FF"/>
    <w:rsid w:val="0017183A"/>
    <w:rsid w:val="00180D75"/>
    <w:rsid w:val="001D5FF1"/>
    <w:rsid w:val="001E75C0"/>
    <w:rsid w:val="001F088D"/>
    <w:rsid w:val="002014D2"/>
    <w:rsid w:val="002073B7"/>
    <w:rsid w:val="0021254A"/>
    <w:rsid w:val="002156E2"/>
    <w:rsid w:val="00220229"/>
    <w:rsid w:val="00223663"/>
    <w:rsid w:val="002511EA"/>
    <w:rsid w:val="002A0C78"/>
    <w:rsid w:val="002B5B42"/>
    <w:rsid w:val="002C0C24"/>
    <w:rsid w:val="002E7B68"/>
    <w:rsid w:val="002F3A2A"/>
    <w:rsid w:val="003023E9"/>
    <w:rsid w:val="00316382"/>
    <w:rsid w:val="00326344"/>
    <w:rsid w:val="00327FFE"/>
    <w:rsid w:val="0035028E"/>
    <w:rsid w:val="00357022"/>
    <w:rsid w:val="003609CE"/>
    <w:rsid w:val="003868AF"/>
    <w:rsid w:val="00395D50"/>
    <w:rsid w:val="003A37E9"/>
    <w:rsid w:val="003B3272"/>
    <w:rsid w:val="003C1987"/>
    <w:rsid w:val="003C7868"/>
    <w:rsid w:val="004000D7"/>
    <w:rsid w:val="00414EEA"/>
    <w:rsid w:val="00447415"/>
    <w:rsid w:val="004902A3"/>
    <w:rsid w:val="004A6057"/>
    <w:rsid w:val="00504E43"/>
    <w:rsid w:val="00522963"/>
    <w:rsid w:val="00551928"/>
    <w:rsid w:val="00583C5A"/>
    <w:rsid w:val="005A0260"/>
    <w:rsid w:val="005B58FD"/>
    <w:rsid w:val="005C3282"/>
    <w:rsid w:val="005F5124"/>
    <w:rsid w:val="00603BD1"/>
    <w:rsid w:val="00614208"/>
    <w:rsid w:val="00625D14"/>
    <w:rsid w:val="00640379"/>
    <w:rsid w:val="006625D8"/>
    <w:rsid w:val="0071229E"/>
    <w:rsid w:val="00753A00"/>
    <w:rsid w:val="00764563"/>
    <w:rsid w:val="00770B64"/>
    <w:rsid w:val="007908F4"/>
    <w:rsid w:val="007A0A6C"/>
    <w:rsid w:val="007A4A33"/>
    <w:rsid w:val="007B337C"/>
    <w:rsid w:val="007D4528"/>
    <w:rsid w:val="00807DCE"/>
    <w:rsid w:val="008314CD"/>
    <w:rsid w:val="008439EC"/>
    <w:rsid w:val="00844866"/>
    <w:rsid w:val="00846740"/>
    <w:rsid w:val="00855DA9"/>
    <w:rsid w:val="008A22C6"/>
    <w:rsid w:val="008A7475"/>
    <w:rsid w:val="008B5F60"/>
    <w:rsid w:val="008C0949"/>
    <w:rsid w:val="008D24F2"/>
    <w:rsid w:val="00933E25"/>
    <w:rsid w:val="00940A00"/>
    <w:rsid w:val="0095142D"/>
    <w:rsid w:val="00956626"/>
    <w:rsid w:val="0097480E"/>
    <w:rsid w:val="00980EFA"/>
    <w:rsid w:val="00985E86"/>
    <w:rsid w:val="00991CB7"/>
    <w:rsid w:val="009B54B8"/>
    <w:rsid w:val="00A068C0"/>
    <w:rsid w:val="00A148F9"/>
    <w:rsid w:val="00A2637A"/>
    <w:rsid w:val="00A308B0"/>
    <w:rsid w:val="00A52ED5"/>
    <w:rsid w:val="00A82BD6"/>
    <w:rsid w:val="00A8300A"/>
    <w:rsid w:val="00AA0338"/>
    <w:rsid w:val="00AA66C9"/>
    <w:rsid w:val="00AB74FD"/>
    <w:rsid w:val="00AD2B44"/>
    <w:rsid w:val="00AD4070"/>
    <w:rsid w:val="00B06093"/>
    <w:rsid w:val="00B15A23"/>
    <w:rsid w:val="00B44C14"/>
    <w:rsid w:val="00B53CB3"/>
    <w:rsid w:val="00B546F7"/>
    <w:rsid w:val="00B87404"/>
    <w:rsid w:val="00B92E5F"/>
    <w:rsid w:val="00B96221"/>
    <w:rsid w:val="00BA635A"/>
    <w:rsid w:val="00BB1942"/>
    <w:rsid w:val="00BB2E6E"/>
    <w:rsid w:val="00BB68B5"/>
    <w:rsid w:val="00BD198F"/>
    <w:rsid w:val="00BD7A68"/>
    <w:rsid w:val="00BE05DB"/>
    <w:rsid w:val="00BE4848"/>
    <w:rsid w:val="00BF26ED"/>
    <w:rsid w:val="00C07F80"/>
    <w:rsid w:val="00C36F77"/>
    <w:rsid w:val="00C57971"/>
    <w:rsid w:val="00C650ED"/>
    <w:rsid w:val="00C711B7"/>
    <w:rsid w:val="00C90875"/>
    <w:rsid w:val="00CB5B94"/>
    <w:rsid w:val="00CC680A"/>
    <w:rsid w:val="00CF193A"/>
    <w:rsid w:val="00CF3D58"/>
    <w:rsid w:val="00D17647"/>
    <w:rsid w:val="00D22A15"/>
    <w:rsid w:val="00D231E7"/>
    <w:rsid w:val="00D52741"/>
    <w:rsid w:val="00D57AC1"/>
    <w:rsid w:val="00D67F33"/>
    <w:rsid w:val="00D93E13"/>
    <w:rsid w:val="00DA317E"/>
    <w:rsid w:val="00DB6F15"/>
    <w:rsid w:val="00DE7627"/>
    <w:rsid w:val="00DF2345"/>
    <w:rsid w:val="00E07E73"/>
    <w:rsid w:val="00E4362E"/>
    <w:rsid w:val="00E57A03"/>
    <w:rsid w:val="00E73644"/>
    <w:rsid w:val="00E802C3"/>
    <w:rsid w:val="00EA7849"/>
    <w:rsid w:val="00EE650A"/>
    <w:rsid w:val="00F01082"/>
    <w:rsid w:val="00F23B74"/>
    <w:rsid w:val="00F551A2"/>
    <w:rsid w:val="00F623D5"/>
    <w:rsid w:val="00F81C76"/>
    <w:rsid w:val="00FA1D87"/>
    <w:rsid w:val="00FA7789"/>
    <w:rsid w:val="00FD3A85"/>
    <w:rsid w:val="00FD41EA"/>
    <w:rsid w:val="00FE3A2B"/>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924">
      <w:bodyDiv w:val="1"/>
      <w:marLeft w:val="0"/>
      <w:marRight w:val="0"/>
      <w:marTop w:val="0"/>
      <w:marBottom w:val="0"/>
      <w:divBdr>
        <w:top w:val="none" w:sz="0" w:space="0" w:color="auto"/>
        <w:left w:val="none" w:sz="0" w:space="0" w:color="auto"/>
        <w:bottom w:val="none" w:sz="0" w:space="0" w:color="auto"/>
        <w:right w:val="none" w:sz="0" w:space="0" w:color="auto"/>
      </w:divBdr>
      <w:divsChild>
        <w:div w:id="236790153">
          <w:marLeft w:val="0"/>
          <w:marRight w:val="0"/>
          <w:marTop w:val="0"/>
          <w:marBottom w:val="100"/>
          <w:divBdr>
            <w:top w:val="none" w:sz="0" w:space="0" w:color="auto"/>
            <w:left w:val="none" w:sz="0" w:space="0" w:color="auto"/>
            <w:bottom w:val="none" w:sz="0" w:space="0" w:color="auto"/>
            <w:right w:val="none" w:sz="0" w:space="0" w:color="auto"/>
          </w:divBdr>
          <w:divsChild>
            <w:div w:id="1666470404">
              <w:marLeft w:val="0"/>
              <w:marRight w:val="0"/>
              <w:marTop w:val="0"/>
              <w:marBottom w:val="0"/>
              <w:divBdr>
                <w:top w:val="none" w:sz="0" w:space="0" w:color="auto"/>
                <w:left w:val="none" w:sz="0" w:space="0" w:color="auto"/>
                <w:bottom w:val="none" w:sz="0" w:space="0" w:color="auto"/>
                <w:right w:val="none" w:sz="0" w:space="0" w:color="auto"/>
              </w:divBdr>
              <w:divsChild>
                <w:div w:id="335115488">
                  <w:marLeft w:val="2700"/>
                  <w:marRight w:val="0"/>
                  <w:marTop w:val="0"/>
                  <w:marBottom w:val="0"/>
                  <w:divBdr>
                    <w:top w:val="none" w:sz="0" w:space="0" w:color="auto"/>
                    <w:left w:val="none" w:sz="0" w:space="0" w:color="auto"/>
                    <w:bottom w:val="none" w:sz="0" w:space="0" w:color="auto"/>
                    <w:right w:val="none" w:sz="0" w:space="0" w:color="auto"/>
                  </w:divBdr>
                  <w:divsChild>
                    <w:div w:id="2068070992">
                      <w:marLeft w:val="285"/>
                      <w:marRight w:val="285"/>
                      <w:marTop w:val="285"/>
                      <w:marBottom w:val="285"/>
                      <w:divBdr>
                        <w:top w:val="none" w:sz="0" w:space="0" w:color="auto"/>
                        <w:left w:val="none" w:sz="0" w:space="0" w:color="auto"/>
                        <w:bottom w:val="none" w:sz="0" w:space="0" w:color="auto"/>
                        <w:right w:val="none" w:sz="0" w:space="0" w:color="auto"/>
                      </w:divBdr>
                      <w:divsChild>
                        <w:div w:id="1617905205">
                          <w:marLeft w:val="0"/>
                          <w:marRight w:val="0"/>
                          <w:marTop w:val="0"/>
                          <w:marBottom w:val="0"/>
                          <w:divBdr>
                            <w:top w:val="none" w:sz="0" w:space="0" w:color="auto"/>
                            <w:left w:val="none" w:sz="0" w:space="0" w:color="auto"/>
                            <w:bottom w:val="none" w:sz="0" w:space="0" w:color="auto"/>
                            <w:right w:val="none" w:sz="0" w:space="0" w:color="auto"/>
                          </w:divBdr>
                          <w:divsChild>
                            <w:div w:id="169877155">
                              <w:marLeft w:val="0"/>
                              <w:marRight w:val="0"/>
                              <w:marTop w:val="0"/>
                              <w:marBottom w:val="0"/>
                              <w:divBdr>
                                <w:top w:val="none" w:sz="0" w:space="0" w:color="auto"/>
                                <w:left w:val="none" w:sz="0" w:space="0" w:color="auto"/>
                                <w:bottom w:val="none" w:sz="0" w:space="0" w:color="auto"/>
                                <w:right w:val="none" w:sz="0" w:space="0" w:color="auto"/>
                              </w:divBdr>
                              <w:divsChild>
                                <w:div w:id="1269849820">
                                  <w:marLeft w:val="120"/>
                                  <w:marRight w:val="0"/>
                                  <w:marTop w:val="120"/>
                                  <w:marBottom w:val="120"/>
                                  <w:divBdr>
                                    <w:top w:val="none" w:sz="0" w:space="0" w:color="auto"/>
                                    <w:left w:val="none" w:sz="0" w:space="0" w:color="auto"/>
                                    <w:bottom w:val="none" w:sz="0" w:space="0" w:color="auto"/>
                                    <w:right w:val="none" w:sz="0" w:space="0" w:color="auto"/>
                                  </w:divBdr>
                                  <w:divsChild>
                                    <w:div w:id="1133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9966">
      <w:bodyDiv w:val="1"/>
      <w:marLeft w:val="0"/>
      <w:marRight w:val="0"/>
      <w:marTop w:val="0"/>
      <w:marBottom w:val="0"/>
      <w:divBdr>
        <w:top w:val="none" w:sz="0" w:space="0" w:color="auto"/>
        <w:left w:val="none" w:sz="0" w:space="0" w:color="auto"/>
        <w:bottom w:val="none" w:sz="0" w:space="0" w:color="auto"/>
        <w:right w:val="none" w:sz="0" w:space="0" w:color="auto"/>
      </w:divBdr>
      <w:divsChild>
        <w:div w:id="781270144">
          <w:marLeft w:val="0"/>
          <w:marRight w:val="0"/>
          <w:marTop w:val="0"/>
          <w:marBottom w:val="100"/>
          <w:divBdr>
            <w:top w:val="none" w:sz="0" w:space="0" w:color="auto"/>
            <w:left w:val="none" w:sz="0" w:space="0" w:color="auto"/>
            <w:bottom w:val="none" w:sz="0" w:space="0" w:color="auto"/>
            <w:right w:val="none" w:sz="0" w:space="0" w:color="auto"/>
          </w:divBdr>
          <w:divsChild>
            <w:div w:id="475529557">
              <w:marLeft w:val="0"/>
              <w:marRight w:val="0"/>
              <w:marTop w:val="0"/>
              <w:marBottom w:val="0"/>
              <w:divBdr>
                <w:top w:val="none" w:sz="0" w:space="0" w:color="auto"/>
                <w:left w:val="none" w:sz="0" w:space="0" w:color="auto"/>
                <w:bottom w:val="none" w:sz="0" w:space="0" w:color="auto"/>
                <w:right w:val="none" w:sz="0" w:space="0" w:color="auto"/>
              </w:divBdr>
              <w:divsChild>
                <w:div w:id="380712661">
                  <w:marLeft w:val="2700"/>
                  <w:marRight w:val="0"/>
                  <w:marTop w:val="0"/>
                  <w:marBottom w:val="0"/>
                  <w:divBdr>
                    <w:top w:val="none" w:sz="0" w:space="0" w:color="auto"/>
                    <w:left w:val="none" w:sz="0" w:space="0" w:color="auto"/>
                    <w:bottom w:val="none" w:sz="0" w:space="0" w:color="auto"/>
                    <w:right w:val="none" w:sz="0" w:space="0" w:color="auto"/>
                  </w:divBdr>
                  <w:divsChild>
                    <w:div w:id="53553038">
                      <w:marLeft w:val="285"/>
                      <w:marRight w:val="285"/>
                      <w:marTop w:val="285"/>
                      <w:marBottom w:val="285"/>
                      <w:divBdr>
                        <w:top w:val="none" w:sz="0" w:space="0" w:color="auto"/>
                        <w:left w:val="none" w:sz="0" w:space="0" w:color="auto"/>
                        <w:bottom w:val="none" w:sz="0" w:space="0" w:color="auto"/>
                        <w:right w:val="none" w:sz="0" w:space="0" w:color="auto"/>
                      </w:divBdr>
                      <w:divsChild>
                        <w:div w:id="226887440">
                          <w:marLeft w:val="0"/>
                          <w:marRight w:val="0"/>
                          <w:marTop w:val="0"/>
                          <w:marBottom w:val="0"/>
                          <w:divBdr>
                            <w:top w:val="none" w:sz="0" w:space="0" w:color="auto"/>
                            <w:left w:val="none" w:sz="0" w:space="0" w:color="auto"/>
                            <w:bottom w:val="none" w:sz="0" w:space="0" w:color="auto"/>
                            <w:right w:val="none" w:sz="0" w:space="0" w:color="auto"/>
                          </w:divBdr>
                          <w:divsChild>
                            <w:div w:id="1284389532">
                              <w:marLeft w:val="0"/>
                              <w:marRight w:val="0"/>
                              <w:marTop w:val="0"/>
                              <w:marBottom w:val="0"/>
                              <w:divBdr>
                                <w:top w:val="none" w:sz="0" w:space="0" w:color="auto"/>
                                <w:left w:val="none" w:sz="0" w:space="0" w:color="auto"/>
                                <w:bottom w:val="none" w:sz="0" w:space="0" w:color="auto"/>
                                <w:right w:val="none" w:sz="0" w:space="0" w:color="auto"/>
                              </w:divBdr>
                              <w:divsChild>
                                <w:div w:id="1345591293">
                                  <w:marLeft w:val="120"/>
                                  <w:marRight w:val="0"/>
                                  <w:marTop w:val="120"/>
                                  <w:marBottom w:val="120"/>
                                  <w:divBdr>
                                    <w:top w:val="none" w:sz="0" w:space="0" w:color="auto"/>
                                    <w:left w:val="none" w:sz="0" w:space="0" w:color="auto"/>
                                    <w:bottom w:val="none" w:sz="0" w:space="0" w:color="auto"/>
                                    <w:right w:val="none" w:sz="0" w:space="0" w:color="auto"/>
                                  </w:divBdr>
                                  <w:divsChild>
                                    <w:div w:id="975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0266">
      <w:bodyDiv w:val="1"/>
      <w:marLeft w:val="0"/>
      <w:marRight w:val="0"/>
      <w:marTop w:val="0"/>
      <w:marBottom w:val="0"/>
      <w:divBdr>
        <w:top w:val="none" w:sz="0" w:space="0" w:color="auto"/>
        <w:left w:val="none" w:sz="0" w:space="0" w:color="auto"/>
        <w:bottom w:val="none" w:sz="0" w:space="0" w:color="auto"/>
        <w:right w:val="none" w:sz="0" w:space="0" w:color="auto"/>
      </w:divBdr>
    </w:div>
    <w:div w:id="996496280">
      <w:bodyDiv w:val="1"/>
      <w:marLeft w:val="0"/>
      <w:marRight w:val="0"/>
      <w:marTop w:val="0"/>
      <w:marBottom w:val="0"/>
      <w:divBdr>
        <w:top w:val="none" w:sz="0" w:space="0" w:color="auto"/>
        <w:left w:val="none" w:sz="0" w:space="0" w:color="auto"/>
        <w:bottom w:val="none" w:sz="0" w:space="0" w:color="auto"/>
        <w:right w:val="none" w:sz="0" w:space="0" w:color="auto"/>
      </w:divBdr>
    </w:div>
    <w:div w:id="11513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7358-20E7-453A-AA65-7B80BFEA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6196FFA1</Template>
  <TotalTime>13</TotalTime>
  <Pages>6</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abrown2</cp:lastModifiedBy>
  <cp:revision>4</cp:revision>
  <dcterms:created xsi:type="dcterms:W3CDTF">2015-12-29T16:33:00Z</dcterms:created>
  <dcterms:modified xsi:type="dcterms:W3CDTF">2015-12-29T16:46:00Z</dcterms:modified>
</cp:coreProperties>
</file>